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11" w:rsidRPr="0027483F" w:rsidRDefault="00AF1911" w:rsidP="00AF1911">
      <w:pPr>
        <w:spacing w:line="360" w:lineRule="auto"/>
        <w:jc w:val="both"/>
        <w:rPr>
          <w:rFonts w:asciiTheme="majorHAnsi" w:hAnsiTheme="majorHAnsi"/>
          <w:sz w:val="24"/>
          <w:szCs w:val="24"/>
        </w:rPr>
      </w:pPr>
      <w:r w:rsidRPr="0027483F">
        <w:rPr>
          <w:rFonts w:asciiTheme="majorHAnsi" w:hAnsiTheme="majorHAnsi"/>
          <w:sz w:val="24"/>
          <w:szCs w:val="24"/>
        </w:rPr>
        <w:t>FEMA</w:t>
      </w:r>
    </w:p>
    <w:p w:rsidR="00AF1911" w:rsidRPr="0027483F" w:rsidRDefault="00AF1911" w:rsidP="00AF1911">
      <w:pPr>
        <w:spacing w:line="360" w:lineRule="auto"/>
        <w:jc w:val="both"/>
        <w:rPr>
          <w:rFonts w:asciiTheme="majorHAnsi" w:hAnsiTheme="majorHAnsi"/>
          <w:sz w:val="24"/>
          <w:szCs w:val="24"/>
        </w:rPr>
      </w:pPr>
      <w:r w:rsidRPr="0027483F">
        <w:rPr>
          <w:rFonts w:asciiTheme="majorHAnsi" w:hAnsiTheme="majorHAnsi"/>
          <w:sz w:val="24"/>
          <w:szCs w:val="24"/>
        </w:rPr>
        <w:t xml:space="preserve">It replaced FERA in the year 1999 </w:t>
      </w:r>
    </w:p>
    <w:p w:rsidR="00AF1911" w:rsidRPr="0027483F" w:rsidRDefault="00AF1911" w:rsidP="00AF1911">
      <w:pPr>
        <w:spacing w:line="360" w:lineRule="auto"/>
        <w:jc w:val="both"/>
        <w:rPr>
          <w:rFonts w:asciiTheme="majorHAnsi" w:hAnsiTheme="majorHAnsi"/>
          <w:sz w:val="24"/>
          <w:szCs w:val="24"/>
        </w:rPr>
      </w:pPr>
      <w:r w:rsidRPr="0027483F">
        <w:rPr>
          <w:rFonts w:asciiTheme="majorHAnsi" w:hAnsiTheme="majorHAnsi"/>
          <w:sz w:val="24"/>
          <w:szCs w:val="24"/>
        </w:rPr>
        <w:t>Major reason for replacing FERA</w:t>
      </w:r>
    </w:p>
    <w:p w:rsidR="00AF1911" w:rsidRPr="0027483F" w:rsidRDefault="00AF1911" w:rsidP="00AF1911">
      <w:pPr>
        <w:spacing w:line="360" w:lineRule="auto"/>
        <w:jc w:val="both"/>
        <w:rPr>
          <w:rFonts w:asciiTheme="majorHAnsi" w:hAnsiTheme="majorHAnsi" w:cs="Arial"/>
          <w:sz w:val="24"/>
          <w:szCs w:val="24"/>
          <w:shd w:val="clear" w:color="auto" w:fill="FFFFFF"/>
        </w:rPr>
      </w:pPr>
      <w:r w:rsidRPr="0027483F">
        <w:rPr>
          <w:rFonts w:asciiTheme="majorHAnsi" w:hAnsiTheme="majorHAnsi" w:cs="Arial"/>
          <w:sz w:val="24"/>
          <w:szCs w:val="24"/>
          <w:shd w:val="clear" w:color="auto" w:fill="FFFFFF"/>
        </w:rPr>
        <w:t>FERA was  incompatible with the pro-liberalization policies of the </w:t>
      </w:r>
      <w:r w:rsidRPr="007A3717">
        <w:rPr>
          <w:rFonts w:asciiTheme="majorHAnsi" w:hAnsiTheme="majorHAnsi" w:cs="Arial"/>
          <w:sz w:val="24"/>
          <w:szCs w:val="24"/>
          <w:shd w:val="clear" w:color="auto" w:fill="FFFFFF"/>
        </w:rPr>
        <w:t>Government of India</w:t>
      </w:r>
      <w:r w:rsidRPr="0027483F">
        <w:rPr>
          <w:rFonts w:asciiTheme="majorHAnsi" w:hAnsiTheme="majorHAnsi" w:cs="Arial"/>
          <w:sz w:val="24"/>
          <w:szCs w:val="24"/>
          <w:shd w:val="clear" w:color="auto" w:fill="FFFFFF"/>
        </w:rPr>
        <w:t>.</w:t>
      </w:r>
    </w:p>
    <w:p w:rsidR="00AF1911" w:rsidRPr="0027483F" w:rsidRDefault="00AF1911" w:rsidP="00AF1911">
      <w:pPr>
        <w:spacing w:line="360" w:lineRule="auto"/>
        <w:jc w:val="both"/>
        <w:rPr>
          <w:rFonts w:asciiTheme="majorHAnsi" w:hAnsiTheme="majorHAnsi"/>
          <w:sz w:val="24"/>
          <w:szCs w:val="24"/>
        </w:rPr>
      </w:pPr>
      <w:r w:rsidRPr="0027483F">
        <w:rPr>
          <w:rFonts w:asciiTheme="majorHAnsi" w:hAnsiTheme="majorHAnsi" w:cs="Arial"/>
          <w:sz w:val="24"/>
          <w:szCs w:val="24"/>
          <w:shd w:val="clear" w:color="auto" w:fill="FFFFFF"/>
        </w:rPr>
        <w:t>It is in tune with the WTO and also with the provisions of  </w:t>
      </w:r>
      <w:r w:rsidRPr="007A3717">
        <w:rPr>
          <w:rFonts w:asciiTheme="majorHAnsi" w:hAnsiTheme="majorHAnsi" w:cs="Arial"/>
          <w:sz w:val="24"/>
          <w:szCs w:val="24"/>
          <w:shd w:val="clear" w:color="auto" w:fill="FFFFFF"/>
        </w:rPr>
        <w:t>Prevention of Money Laundering Act, 2002</w:t>
      </w:r>
      <w:r w:rsidRPr="0027483F">
        <w:rPr>
          <w:rFonts w:asciiTheme="majorHAnsi" w:hAnsiTheme="majorHAnsi" w:cs="Arial"/>
          <w:sz w:val="24"/>
          <w:szCs w:val="24"/>
          <w:shd w:val="clear" w:color="auto" w:fill="FFFFFF"/>
        </w:rPr>
        <w:t>,</w:t>
      </w:r>
    </w:p>
    <w:p w:rsidR="00AF1911" w:rsidRPr="0027483F" w:rsidRDefault="00AF1911" w:rsidP="00AF1911">
      <w:pPr>
        <w:spacing w:line="360" w:lineRule="auto"/>
        <w:jc w:val="both"/>
        <w:rPr>
          <w:rFonts w:asciiTheme="majorHAnsi" w:hAnsiTheme="majorHAnsi"/>
          <w:sz w:val="24"/>
          <w:szCs w:val="24"/>
          <w:shd w:val="clear" w:color="auto" w:fill="FFFFFF"/>
        </w:rPr>
      </w:pPr>
      <w:r w:rsidRPr="007A3717">
        <w:rPr>
          <w:rFonts w:asciiTheme="majorHAnsi" w:hAnsiTheme="majorHAnsi"/>
          <w:sz w:val="24"/>
          <w:szCs w:val="24"/>
          <w:shd w:val="clear" w:color="auto" w:fill="FFFFFF"/>
        </w:rPr>
        <w:t>FEMA</w:t>
      </w:r>
      <w:r w:rsidRPr="0027483F">
        <w:rPr>
          <w:rFonts w:asciiTheme="majorHAnsi" w:hAnsiTheme="majorHAnsi"/>
          <w:sz w:val="24"/>
          <w:szCs w:val="24"/>
          <w:shd w:val="clear" w:color="auto" w:fill="FFFFFF"/>
        </w:rPr>
        <w:t> is applicable to all parts of India and was primarily formulated to utilize the foreign exchange resources in efficient manner. It is also equally applicable to the offices and agencies which are located outside India however is managed or owned by an Indian Citizen.</w:t>
      </w:r>
    </w:p>
    <w:p w:rsidR="00AF1911" w:rsidRPr="0027483F" w:rsidRDefault="00AF1911" w:rsidP="00AF1911">
      <w:pPr>
        <w:spacing w:line="360" w:lineRule="auto"/>
        <w:jc w:val="both"/>
        <w:rPr>
          <w:rFonts w:asciiTheme="majorHAnsi" w:hAnsiTheme="majorHAnsi"/>
          <w:sz w:val="24"/>
          <w:szCs w:val="24"/>
          <w:shd w:val="clear" w:color="auto" w:fill="FFFFFF"/>
        </w:rPr>
      </w:pPr>
      <w:r w:rsidRPr="0027483F">
        <w:rPr>
          <w:rFonts w:asciiTheme="majorHAnsi" w:hAnsiTheme="majorHAnsi"/>
          <w:sz w:val="24"/>
          <w:szCs w:val="24"/>
          <w:shd w:val="clear" w:color="auto" w:fill="FFFFFF"/>
        </w:rPr>
        <w:t>FEMA head office is known as Enforcement Directorate and is situated in heart of city of Delhi. All the forex correspondence have to be addressed to this office</w:t>
      </w:r>
    </w:p>
    <w:p w:rsidR="00AF1911" w:rsidRPr="0027483F" w:rsidRDefault="00AF1911" w:rsidP="00AF1911">
      <w:pPr>
        <w:spacing w:line="360" w:lineRule="auto"/>
        <w:jc w:val="both"/>
        <w:rPr>
          <w:rFonts w:asciiTheme="majorHAnsi" w:hAnsiTheme="majorHAnsi"/>
          <w:sz w:val="24"/>
          <w:szCs w:val="24"/>
          <w:shd w:val="clear" w:color="auto" w:fill="FFFFFF"/>
        </w:rPr>
      </w:pPr>
      <w:r w:rsidRPr="0027483F">
        <w:rPr>
          <w:rFonts w:asciiTheme="majorHAnsi" w:hAnsiTheme="majorHAnsi"/>
          <w:sz w:val="24"/>
          <w:szCs w:val="24"/>
          <w:shd w:val="clear" w:color="auto" w:fill="FFFFFF"/>
        </w:rPr>
        <w:t xml:space="preserve"> main objective -  of FEMA </w:t>
      </w:r>
    </w:p>
    <w:p w:rsidR="00AF1911" w:rsidRPr="0027483F" w:rsidRDefault="00AF1911" w:rsidP="00AF1911">
      <w:pPr>
        <w:pStyle w:val="ListParagraph"/>
        <w:numPr>
          <w:ilvl w:val="0"/>
          <w:numId w:val="1"/>
        </w:numPr>
        <w:spacing w:line="360" w:lineRule="auto"/>
        <w:jc w:val="both"/>
        <w:rPr>
          <w:rFonts w:asciiTheme="majorHAnsi" w:hAnsiTheme="majorHAnsi"/>
          <w:sz w:val="24"/>
          <w:szCs w:val="24"/>
          <w:shd w:val="clear" w:color="auto" w:fill="FFFFFF"/>
        </w:rPr>
      </w:pPr>
      <w:r w:rsidRPr="0027483F">
        <w:rPr>
          <w:rFonts w:asciiTheme="majorHAnsi" w:hAnsiTheme="majorHAnsi"/>
          <w:sz w:val="24"/>
          <w:szCs w:val="24"/>
          <w:shd w:val="clear" w:color="auto" w:fill="FFFFFF"/>
        </w:rPr>
        <w:t>to help facilitate external trade and payments in India. </w:t>
      </w:r>
    </w:p>
    <w:p w:rsidR="00AF1911" w:rsidRPr="0027483F" w:rsidRDefault="00AF1911" w:rsidP="00AF1911">
      <w:pPr>
        <w:pStyle w:val="ListParagraph"/>
        <w:numPr>
          <w:ilvl w:val="0"/>
          <w:numId w:val="1"/>
        </w:numPr>
        <w:spacing w:line="360" w:lineRule="auto"/>
        <w:jc w:val="both"/>
        <w:rPr>
          <w:rFonts w:asciiTheme="majorHAnsi" w:hAnsiTheme="majorHAnsi"/>
          <w:sz w:val="24"/>
          <w:szCs w:val="24"/>
          <w:shd w:val="clear" w:color="auto" w:fill="FFFFFF"/>
        </w:rPr>
      </w:pPr>
      <w:r w:rsidRPr="0027483F">
        <w:rPr>
          <w:rFonts w:asciiTheme="majorHAnsi" w:hAnsiTheme="majorHAnsi"/>
          <w:sz w:val="24"/>
          <w:szCs w:val="24"/>
          <w:shd w:val="clear" w:color="auto" w:fill="FFFFFF"/>
        </w:rPr>
        <w:t>orderly development and maintenance of foreign exchange market in India</w:t>
      </w:r>
    </w:p>
    <w:p w:rsidR="00AF1911" w:rsidRPr="0027483F" w:rsidRDefault="00AF1911" w:rsidP="00AF1911">
      <w:pPr>
        <w:pStyle w:val="ListParagraph"/>
        <w:numPr>
          <w:ilvl w:val="0"/>
          <w:numId w:val="1"/>
        </w:numPr>
        <w:spacing w:line="360" w:lineRule="auto"/>
        <w:jc w:val="both"/>
        <w:rPr>
          <w:rFonts w:asciiTheme="majorHAnsi" w:hAnsiTheme="majorHAnsi"/>
          <w:sz w:val="24"/>
          <w:szCs w:val="24"/>
          <w:shd w:val="clear" w:color="auto" w:fill="FFFFFF"/>
        </w:rPr>
      </w:pPr>
      <w:r w:rsidRPr="0027483F">
        <w:rPr>
          <w:rFonts w:asciiTheme="majorHAnsi" w:hAnsiTheme="majorHAnsi"/>
          <w:sz w:val="24"/>
          <w:szCs w:val="24"/>
          <w:shd w:val="clear" w:color="auto" w:fill="FFFFFF"/>
        </w:rPr>
        <w:t>It defines the procedures, formalities, dealings of all foreign exchange transactions in India</w:t>
      </w:r>
    </w:p>
    <w:p w:rsidR="00AF1911" w:rsidRPr="0027483F" w:rsidRDefault="00AF1911" w:rsidP="00AF1911">
      <w:pPr>
        <w:pStyle w:val="ListParagraph"/>
        <w:numPr>
          <w:ilvl w:val="0"/>
          <w:numId w:val="1"/>
        </w:numPr>
        <w:spacing w:line="360" w:lineRule="auto"/>
        <w:jc w:val="both"/>
        <w:rPr>
          <w:rFonts w:asciiTheme="majorHAnsi" w:hAnsiTheme="majorHAnsi"/>
          <w:sz w:val="24"/>
          <w:szCs w:val="24"/>
          <w:shd w:val="clear" w:color="auto" w:fill="FFFFFF"/>
        </w:rPr>
      </w:pPr>
      <w:r w:rsidRPr="0027483F">
        <w:rPr>
          <w:rFonts w:asciiTheme="majorHAnsi" w:hAnsiTheme="majorHAnsi" w:cs="Arial"/>
          <w:sz w:val="24"/>
          <w:szCs w:val="24"/>
          <w:shd w:val="clear" w:color="auto" w:fill="FFFFFF"/>
        </w:rPr>
        <w:t xml:space="preserve">Free transactions on current account subject to a reasonable restrictions that may be imposed.( which my also be banned by the Central Government) </w:t>
      </w:r>
    </w:p>
    <w:p w:rsidR="00AF1911" w:rsidRPr="0027483F" w:rsidRDefault="00AF1911" w:rsidP="00AF1911">
      <w:pPr>
        <w:pStyle w:val="ListParagraph"/>
        <w:numPr>
          <w:ilvl w:val="0"/>
          <w:numId w:val="1"/>
        </w:numPr>
        <w:spacing w:line="360" w:lineRule="auto"/>
        <w:jc w:val="both"/>
        <w:rPr>
          <w:rFonts w:asciiTheme="majorHAnsi" w:hAnsiTheme="majorHAnsi"/>
          <w:sz w:val="24"/>
          <w:szCs w:val="24"/>
          <w:shd w:val="clear" w:color="auto" w:fill="FFFFFF"/>
        </w:rPr>
      </w:pPr>
      <w:r w:rsidRPr="0027483F">
        <w:rPr>
          <w:rFonts w:asciiTheme="majorHAnsi" w:hAnsiTheme="majorHAnsi" w:cs="Arial"/>
          <w:sz w:val="24"/>
          <w:szCs w:val="24"/>
          <w:shd w:val="clear" w:color="auto" w:fill="FFFFFF"/>
        </w:rPr>
        <w:t>Without general or specific permission of FEMA, MA restricts the transactions involving foreign exchange or foreign security and payments from outside the country to India – the transactions should be made only through an authorised person.</w:t>
      </w:r>
    </w:p>
    <w:p w:rsidR="00AF1911" w:rsidRPr="0027483F" w:rsidRDefault="00AF1911" w:rsidP="00AF1911">
      <w:pPr>
        <w:pStyle w:val="ListParagraph"/>
        <w:spacing w:line="360" w:lineRule="auto"/>
        <w:jc w:val="both"/>
        <w:rPr>
          <w:rFonts w:asciiTheme="majorHAnsi" w:hAnsiTheme="majorHAnsi"/>
          <w:sz w:val="24"/>
          <w:szCs w:val="24"/>
          <w:shd w:val="clear" w:color="auto" w:fill="FFFFFF"/>
        </w:rPr>
      </w:pPr>
    </w:p>
    <w:tbl>
      <w:tblPr>
        <w:tblStyle w:val="TableGrid"/>
        <w:tblW w:w="0" w:type="auto"/>
        <w:tblLook w:val="04A0"/>
      </w:tblPr>
      <w:tblGrid>
        <w:gridCol w:w="3079"/>
        <w:gridCol w:w="3082"/>
        <w:gridCol w:w="3081"/>
      </w:tblGrid>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BASIS</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FERA</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FEMA</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 xml:space="preserve">Meaning </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 xml:space="preserve">An act promulgated, to regulate payments and foreign exchange in India, is </w:t>
            </w:r>
            <w:r w:rsidRPr="0027483F">
              <w:rPr>
                <w:rFonts w:asciiTheme="majorHAnsi" w:hAnsiTheme="majorHAnsi"/>
                <w:sz w:val="24"/>
                <w:szCs w:val="24"/>
              </w:rPr>
              <w:lastRenderedPageBreak/>
              <w:t>FERA.</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lastRenderedPageBreak/>
              <w:t xml:space="preserve">FEMA an act initiated to facilitate external trade and payments and to promote </w:t>
            </w:r>
            <w:r w:rsidRPr="0027483F">
              <w:rPr>
                <w:rFonts w:asciiTheme="majorHAnsi" w:hAnsiTheme="majorHAnsi"/>
                <w:sz w:val="24"/>
                <w:szCs w:val="24"/>
              </w:rPr>
              <w:lastRenderedPageBreak/>
              <w:t>orderly management of the forex market in the country.</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lastRenderedPageBreak/>
              <w:t>Enactment</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 xml:space="preserve">Old </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New</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 xml:space="preserve">No. Of sections </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81</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19</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Introduced when</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Foreign exchange reserves were low.</w:t>
            </w:r>
            <w:r w:rsidRPr="0027483F">
              <w:rPr>
                <w:rFonts w:asciiTheme="majorHAnsi" w:hAnsiTheme="majorHAnsi"/>
                <w:sz w:val="24"/>
                <w:szCs w:val="24"/>
              </w:rPr>
              <w:tab/>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Foreign exchange position was satisfactory.</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Approach towards forex transactions</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Rigid</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Flexible</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Basis for determining residential status</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Citizenship</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 xml:space="preserve">More than 6 months stay in India or as per IT act </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Violation</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Criminal offence</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Civil offence</w:t>
            </w:r>
          </w:p>
        </w:tc>
      </w:tr>
      <w:tr w:rsidR="00AF1911" w:rsidRPr="0027483F" w:rsidTr="005B331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Punishment for contravention</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Imprisonment</w:t>
            </w:r>
          </w:p>
        </w:tc>
        <w:tc>
          <w:tcPr>
            <w:tcW w:w="3192" w:type="dxa"/>
          </w:tcPr>
          <w:p w:rsidR="00AF1911" w:rsidRPr="0027483F" w:rsidRDefault="00AF1911" w:rsidP="005B331C">
            <w:pPr>
              <w:spacing w:line="360" w:lineRule="auto"/>
              <w:jc w:val="both"/>
              <w:rPr>
                <w:rFonts w:asciiTheme="majorHAnsi" w:hAnsiTheme="majorHAnsi"/>
                <w:sz w:val="24"/>
                <w:szCs w:val="24"/>
              </w:rPr>
            </w:pPr>
            <w:r w:rsidRPr="0027483F">
              <w:rPr>
                <w:rFonts w:asciiTheme="majorHAnsi" w:hAnsiTheme="majorHAnsi"/>
                <w:sz w:val="24"/>
                <w:szCs w:val="24"/>
              </w:rPr>
              <w:t>Fine or imprisonment (if fine not paid in the stipulated time)</w:t>
            </w:r>
          </w:p>
        </w:tc>
      </w:tr>
    </w:tbl>
    <w:p w:rsidR="00AF1911" w:rsidRPr="0027483F" w:rsidRDefault="00AF1911" w:rsidP="00AF1911">
      <w:pPr>
        <w:spacing w:line="360" w:lineRule="auto"/>
        <w:jc w:val="both"/>
        <w:rPr>
          <w:rFonts w:asciiTheme="majorHAnsi" w:hAnsiTheme="majorHAnsi"/>
          <w:sz w:val="24"/>
          <w:szCs w:val="24"/>
          <w:lang w:val="en-IN"/>
        </w:rPr>
      </w:pPr>
    </w:p>
    <w:p w:rsidR="00AF1911" w:rsidRPr="0027483F" w:rsidRDefault="00AF1911" w:rsidP="00AF1911">
      <w:pPr>
        <w:spacing w:line="360" w:lineRule="auto"/>
        <w:jc w:val="both"/>
        <w:rPr>
          <w:rFonts w:asciiTheme="majorHAnsi" w:hAnsiTheme="majorHAnsi"/>
          <w:sz w:val="24"/>
          <w:szCs w:val="24"/>
        </w:rPr>
      </w:pPr>
      <w:r w:rsidRPr="0027483F">
        <w:rPr>
          <w:rFonts w:asciiTheme="majorHAnsi" w:hAnsiTheme="majorHAnsi"/>
          <w:sz w:val="24"/>
          <w:szCs w:val="24"/>
        </w:rPr>
        <w:t>AD i.e. Authorized person in FEMA</w:t>
      </w:r>
    </w:p>
    <w:p w:rsidR="00AF1911" w:rsidRPr="0027483F" w:rsidRDefault="00AF1911" w:rsidP="00AF1911">
      <w:pPr>
        <w:spacing w:line="360" w:lineRule="auto"/>
        <w:jc w:val="both"/>
        <w:rPr>
          <w:rFonts w:asciiTheme="majorHAnsi" w:hAnsiTheme="majorHAnsi"/>
          <w:sz w:val="24"/>
          <w:szCs w:val="24"/>
          <w:shd w:val="clear" w:color="auto" w:fill="FFFFFF"/>
        </w:rPr>
      </w:pPr>
      <w:r w:rsidRPr="0027483F">
        <w:rPr>
          <w:rFonts w:asciiTheme="majorHAnsi" w:hAnsiTheme="majorHAnsi"/>
          <w:sz w:val="24"/>
          <w:szCs w:val="24"/>
          <w:shd w:val="clear" w:color="auto" w:fill="FFFFFF"/>
        </w:rPr>
        <w:t>Section 2(c) of </w:t>
      </w:r>
      <w:r w:rsidRPr="007A3717">
        <w:rPr>
          <w:rFonts w:asciiTheme="majorHAnsi" w:hAnsiTheme="majorHAnsi"/>
          <w:sz w:val="24"/>
          <w:szCs w:val="24"/>
          <w:shd w:val="clear" w:color="auto" w:fill="FFFFFF"/>
        </w:rPr>
        <w:t>Foreign Exchange Management Act or FEMA </w:t>
      </w:r>
      <w:r w:rsidRPr="0027483F">
        <w:rPr>
          <w:rFonts w:asciiTheme="majorHAnsi" w:hAnsiTheme="majorHAnsi"/>
          <w:sz w:val="24"/>
          <w:szCs w:val="24"/>
          <w:shd w:val="clear" w:color="auto" w:fill="FFFFFF"/>
        </w:rPr>
        <w:t>states that ‘authorized person’ means an authorized dealer, money changer, off-shore banking unit or any other person authorized under section 10 (1) to deal in foreign exchange and foreign securities. These are authorized by RBI under section 10 of </w:t>
      </w:r>
      <w:r w:rsidRPr="007A3717">
        <w:rPr>
          <w:rFonts w:asciiTheme="majorHAnsi" w:hAnsiTheme="majorHAnsi"/>
          <w:sz w:val="24"/>
          <w:szCs w:val="24"/>
          <w:shd w:val="clear" w:color="auto" w:fill="FFFFFF"/>
        </w:rPr>
        <w:t>FEMA</w:t>
      </w:r>
      <w:r w:rsidRPr="0027483F">
        <w:rPr>
          <w:rFonts w:asciiTheme="majorHAnsi" w:hAnsiTheme="majorHAnsi"/>
          <w:sz w:val="24"/>
          <w:szCs w:val="24"/>
          <w:shd w:val="clear" w:color="auto" w:fill="FFFFFF"/>
        </w:rPr>
        <w:t> to deal in foreign exchange.</w:t>
      </w:r>
    </w:p>
    <w:p w:rsidR="00AF1911" w:rsidRPr="0027483F" w:rsidRDefault="00AF1911" w:rsidP="00AF1911">
      <w:pPr>
        <w:spacing w:line="360" w:lineRule="auto"/>
        <w:jc w:val="both"/>
        <w:rPr>
          <w:rFonts w:asciiTheme="majorHAnsi" w:hAnsiTheme="majorHAnsi"/>
          <w:sz w:val="24"/>
          <w:szCs w:val="24"/>
          <w:shd w:val="clear" w:color="auto" w:fill="FFFFFF"/>
        </w:rPr>
      </w:pPr>
    </w:p>
    <w:p w:rsidR="00AF1911" w:rsidRPr="0027483F" w:rsidRDefault="00AF1911" w:rsidP="00AF1911">
      <w:pPr>
        <w:spacing w:line="360" w:lineRule="auto"/>
        <w:jc w:val="both"/>
        <w:rPr>
          <w:rFonts w:asciiTheme="majorHAnsi" w:hAnsiTheme="majorHAnsi"/>
          <w:sz w:val="24"/>
          <w:szCs w:val="24"/>
          <w:shd w:val="clear" w:color="auto" w:fill="FFFFFF"/>
        </w:rPr>
      </w:pPr>
    </w:p>
    <w:p w:rsidR="00AF1911" w:rsidRPr="0027483F" w:rsidRDefault="00AF1911" w:rsidP="00AF1911">
      <w:pPr>
        <w:spacing w:line="360" w:lineRule="auto"/>
        <w:jc w:val="both"/>
        <w:rPr>
          <w:rFonts w:asciiTheme="majorHAnsi" w:hAnsiTheme="majorHAnsi"/>
          <w:sz w:val="24"/>
          <w:szCs w:val="24"/>
          <w:shd w:val="clear" w:color="auto" w:fill="FFFFFF"/>
        </w:rPr>
      </w:pPr>
    </w:p>
    <w:tbl>
      <w:tblPr>
        <w:tblW w:w="0" w:type="auto"/>
        <w:shd w:val="clear" w:color="auto" w:fill="FFFFFF"/>
        <w:tblCellMar>
          <w:left w:w="0" w:type="dxa"/>
          <w:right w:w="0" w:type="dxa"/>
        </w:tblCellMar>
        <w:tblLook w:val="04A0"/>
      </w:tblPr>
      <w:tblGrid>
        <w:gridCol w:w="3005"/>
        <w:gridCol w:w="3005"/>
        <w:gridCol w:w="3006"/>
      </w:tblGrid>
      <w:tr w:rsidR="00AF1911" w:rsidRPr="0027483F" w:rsidTr="005B331C">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b/>
                <w:bCs/>
                <w:sz w:val="24"/>
                <w:szCs w:val="24"/>
                <w:lang w:val="en-IN" w:eastAsia="zh-CN"/>
              </w:rPr>
              <w:t>Category</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b/>
                <w:bCs/>
                <w:sz w:val="24"/>
                <w:szCs w:val="24"/>
                <w:lang w:val="en-IN" w:eastAsia="zh-CN"/>
              </w:rPr>
              <w:t>Entities</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b/>
                <w:bCs/>
                <w:sz w:val="24"/>
                <w:szCs w:val="24"/>
                <w:lang w:val="en-IN" w:eastAsia="zh-CN"/>
              </w:rPr>
              <w:t>Permitted Activities</w:t>
            </w:r>
          </w:p>
        </w:tc>
      </w:tr>
      <w:tr w:rsidR="00AF1911" w:rsidRPr="0027483F" w:rsidTr="005B331C">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Authorised Dealer –</w:t>
            </w:r>
          </w:p>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Category I</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Commercial Banks, State Co-op Banks, Urban Co-op Banks</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 xml:space="preserve">All current and capital account transactions as per RBI directions issued </w:t>
            </w:r>
            <w:r w:rsidRPr="0027483F">
              <w:rPr>
                <w:rFonts w:asciiTheme="majorHAnsi" w:eastAsia="Times New Roman" w:hAnsiTheme="majorHAnsi" w:cs="Helvetica"/>
                <w:sz w:val="24"/>
                <w:szCs w:val="24"/>
                <w:lang w:val="en-IN" w:eastAsia="zh-CN"/>
              </w:rPr>
              <w:lastRenderedPageBreak/>
              <w:t>from time to time</w:t>
            </w:r>
          </w:p>
        </w:tc>
      </w:tr>
      <w:tr w:rsidR="00AF1911" w:rsidRPr="0027483F" w:rsidTr="005B331C">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lastRenderedPageBreak/>
              <w:t>Authorised Dealer-</w:t>
            </w:r>
          </w:p>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Category II</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Upgraded FFMCs (fledged money changer), Co-op Banks, Regional Rural Banks (RRBs), others</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Specified non-trade related current account transactions and all activities permitted to FFMC</w:t>
            </w:r>
          </w:p>
        </w:tc>
      </w:tr>
      <w:tr w:rsidR="00AF1911" w:rsidRPr="0027483F" w:rsidTr="005B331C">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Authorised Dealer –</w:t>
            </w:r>
          </w:p>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Category III</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Selected Financial and other institutions</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Transactions incidental to the foreign exchange</w:t>
            </w:r>
          </w:p>
        </w:tc>
      </w:tr>
      <w:tr w:rsidR="00AF1911" w:rsidRPr="0027483F" w:rsidTr="005B331C">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Full Fledged Money Changers (FFMC)</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Department of Post, Urban Co-op Banks, Other FFMC</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1911" w:rsidRPr="0027483F" w:rsidRDefault="00AF1911" w:rsidP="005B331C">
            <w:pPr>
              <w:spacing w:after="0" w:line="360" w:lineRule="auto"/>
              <w:jc w:val="both"/>
              <w:rPr>
                <w:rFonts w:asciiTheme="majorHAnsi" w:eastAsia="Times New Roman" w:hAnsiTheme="majorHAnsi" w:cs="Helvetica"/>
                <w:sz w:val="24"/>
                <w:szCs w:val="24"/>
                <w:lang w:val="en-IN" w:eastAsia="zh-CN"/>
              </w:rPr>
            </w:pPr>
            <w:r w:rsidRPr="0027483F">
              <w:rPr>
                <w:rFonts w:asciiTheme="majorHAnsi" w:eastAsia="Times New Roman" w:hAnsiTheme="majorHAnsi" w:cs="Helvetica"/>
                <w:sz w:val="24"/>
                <w:szCs w:val="24"/>
                <w:lang w:val="en-IN" w:eastAsia="zh-CN"/>
              </w:rPr>
              <w:t>Purchase of foreign exchange and sale for private and business visits abroad.</w:t>
            </w:r>
          </w:p>
        </w:tc>
      </w:tr>
    </w:tbl>
    <w:p w:rsidR="00DB5039" w:rsidRDefault="00DB5039"/>
    <w:sectPr w:rsidR="00DB5039" w:rsidSect="00DB50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59"/>
    <w:multiLevelType w:val="hybridMultilevel"/>
    <w:tmpl w:val="C98479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AF1911"/>
    <w:rsid w:val="003D2B88"/>
    <w:rsid w:val="0065626E"/>
    <w:rsid w:val="00AF1911"/>
    <w:rsid w:val="00D646DD"/>
    <w:rsid w:val="00DB5039"/>
    <w:rsid w:val="00E156C0"/>
    <w:rsid w:val="00E87BFF"/>
  </w:rsids>
  <m:mathPr>
    <m:mathFont m:val="Cambria Math"/>
    <m:brkBin m:val="before"/>
    <m:brkBinSub m:val="--"/>
    <m:smallFrac m:val="off"/>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11"/>
    <w:rPr>
      <w:rFonts w:cs="Mang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11"/>
    <w:pPr>
      <w:ind w:left="720"/>
      <w:contextualSpacing/>
    </w:pPr>
    <w:rPr>
      <w:rFonts w:cstheme="minorBidi"/>
      <w:lang w:val="en-IN" w:eastAsia="zh-CN"/>
    </w:rPr>
  </w:style>
  <w:style w:type="table" w:styleId="TableGrid">
    <w:name w:val="Table Grid"/>
    <w:basedOn w:val="TableNormal"/>
    <w:uiPriority w:val="59"/>
    <w:rsid w:val="00AF1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2662</Characters>
  <Application>Microsoft Office Word</Application>
  <DocSecurity>0</DocSecurity>
  <Lines>22</Lines>
  <Paragraphs>6</Paragraphs>
  <ScaleCrop>false</ScaleCrop>
  <Company>Hewlett-Packard</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2020-10-29T05:20:00Z</dcterms:created>
  <dcterms:modified xsi:type="dcterms:W3CDTF">2020-10-29T05:20:00Z</dcterms:modified>
</cp:coreProperties>
</file>