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778C" w14:textId="7DB48AB5" w:rsidR="00905E1B" w:rsidRPr="003244F5" w:rsidRDefault="006671F6" w:rsidP="003244F5">
      <w:pPr>
        <w:pStyle w:val="Title"/>
        <w:rPr>
          <w:b/>
          <w:bCs/>
          <w:u w:val="single"/>
        </w:rPr>
      </w:pPr>
      <w:r w:rsidRPr="003244F5">
        <w:rPr>
          <w:b/>
          <w:bCs/>
          <w:u w:val="single"/>
        </w:rPr>
        <w:t>Capital Structure Decisions</w:t>
      </w:r>
    </w:p>
    <w:p w14:paraId="5383BB3C" w14:textId="77777777" w:rsidR="003244F5" w:rsidRDefault="003244F5" w:rsidP="003244F5">
      <w:pPr>
        <w:spacing w:line="276" w:lineRule="auto"/>
        <w:ind w:left="0"/>
        <w:rPr>
          <w:rFonts w:cstheme="minorHAnsi"/>
          <w:sz w:val="24"/>
          <w:szCs w:val="24"/>
        </w:rPr>
      </w:pPr>
    </w:p>
    <w:p w14:paraId="123A2DE1" w14:textId="296C813A" w:rsidR="006671F6" w:rsidRPr="003244F5" w:rsidRDefault="006671F6" w:rsidP="003244F5">
      <w:pPr>
        <w:spacing w:line="276" w:lineRule="auto"/>
        <w:ind w:left="0"/>
        <w:rPr>
          <w:rFonts w:cstheme="minorHAnsi"/>
          <w:sz w:val="24"/>
          <w:szCs w:val="24"/>
        </w:rPr>
      </w:pPr>
      <w:r w:rsidRPr="003244F5">
        <w:rPr>
          <w:rFonts w:cstheme="minorHAnsi"/>
          <w:sz w:val="24"/>
          <w:szCs w:val="24"/>
        </w:rPr>
        <w:t xml:space="preserve">Before commencing a new </w:t>
      </w:r>
      <w:r w:rsidR="00C57FF0" w:rsidRPr="003244F5">
        <w:rPr>
          <w:rFonts w:cstheme="minorHAnsi"/>
          <w:sz w:val="24"/>
          <w:szCs w:val="24"/>
        </w:rPr>
        <w:t>project,</w:t>
      </w:r>
      <w:r w:rsidRPr="003244F5">
        <w:rPr>
          <w:rFonts w:cstheme="minorHAnsi"/>
          <w:sz w:val="24"/>
          <w:szCs w:val="24"/>
        </w:rPr>
        <w:t xml:space="preserve"> a vital managerial decision regarding selecting right type of capital structure has to be taken. An optimum capital structure is one which maximise shareholders’ return. The advantage of having an optimum capital structure are two-fold. It maximizes the value of the assets of the company and wealth of its owner and minimises the cost of capital, in turn, raises its ability to find in</w:t>
      </w:r>
      <w:r w:rsidR="004A266B">
        <w:rPr>
          <w:rFonts w:cstheme="minorHAnsi"/>
          <w:sz w:val="24"/>
          <w:szCs w:val="24"/>
        </w:rPr>
        <w:t xml:space="preserve"> </w:t>
      </w:r>
      <w:r w:rsidRPr="003244F5">
        <w:rPr>
          <w:rFonts w:cstheme="minorHAnsi"/>
          <w:sz w:val="24"/>
          <w:szCs w:val="24"/>
        </w:rPr>
        <w:t>built additional investment opportunities.</w:t>
      </w:r>
      <w:r w:rsidR="007978C7" w:rsidRPr="003244F5">
        <w:rPr>
          <w:rFonts w:cstheme="minorHAnsi"/>
          <w:sz w:val="24"/>
          <w:szCs w:val="24"/>
        </w:rPr>
        <w:t xml:space="preserve"> Problem of planning capital structure is of crucial importance and has long-term implications. </w:t>
      </w:r>
    </w:p>
    <w:p w14:paraId="75CE48F7" w14:textId="7FB2C210" w:rsidR="007978C7" w:rsidRPr="003244F5" w:rsidRDefault="007978C7" w:rsidP="003244F5">
      <w:pPr>
        <w:spacing w:line="276" w:lineRule="auto"/>
        <w:ind w:left="0"/>
        <w:rPr>
          <w:rFonts w:cstheme="minorHAnsi"/>
          <w:sz w:val="24"/>
          <w:szCs w:val="24"/>
        </w:rPr>
      </w:pPr>
      <w:r w:rsidRPr="003244F5">
        <w:rPr>
          <w:rFonts w:cstheme="minorHAnsi"/>
          <w:sz w:val="24"/>
          <w:szCs w:val="24"/>
        </w:rPr>
        <w:t>The Tax planner should properly balance risk, cost, control and tax consideration. In capital structure decision, the cost of capital is an important consideration along with risk factor.</w:t>
      </w:r>
    </w:p>
    <w:p w14:paraId="778D42A8" w14:textId="17072728" w:rsidR="007978C7" w:rsidRPr="003244F5" w:rsidRDefault="007978C7" w:rsidP="003244F5">
      <w:pPr>
        <w:spacing w:line="276" w:lineRule="auto"/>
        <w:ind w:left="0"/>
        <w:rPr>
          <w:rFonts w:cstheme="minorHAnsi"/>
          <w:sz w:val="24"/>
          <w:szCs w:val="24"/>
        </w:rPr>
      </w:pPr>
      <w:r w:rsidRPr="003244F5">
        <w:rPr>
          <w:rFonts w:cstheme="minorHAnsi"/>
          <w:sz w:val="24"/>
          <w:szCs w:val="24"/>
        </w:rPr>
        <w:t xml:space="preserve">One of the main </w:t>
      </w:r>
      <w:r w:rsidR="003244F5" w:rsidRPr="003244F5">
        <w:rPr>
          <w:rFonts w:cstheme="minorHAnsi"/>
          <w:sz w:val="24"/>
          <w:szCs w:val="24"/>
        </w:rPr>
        <w:t>reasons</w:t>
      </w:r>
      <w:r w:rsidRPr="003244F5">
        <w:rPr>
          <w:rFonts w:cstheme="minorHAnsi"/>
          <w:sz w:val="24"/>
          <w:szCs w:val="24"/>
        </w:rPr>
        <w:t xml:space="preserve"> for raising finance through (as against issue of equity shares) is to increase earning on equity share capital. But excessive use of debt capital increases the financial risk of the company.</w:t>
      </w:r>
    </w:p>
    <w:p w14:paraId="317B61D7" w14:textId="65653697" w:rsidR="007978C7" w:rsidRPr="003244F5" w:rsidRDefault="007978C7" w:rsidP="003244F5">
      <w:pPr>
        <w:spacing w:line="276" w:lineRule="auto"/>
        <w:ind w:left="0"/>
        <w:rPr>
          <w:rFonts w:cstheme="minorHAnsi"/>
          <w:sz w:val="24"/>
          <w:szCs w:val="24"/>
        </w:rPr>
      </w:pPr>
    </w:p>
    <w:p w14:paraId="76EC359D" w14:textId="108AB5D6" w:rsidR="007978C7" w:rsidRPr="003244F5" w:rsidRDefault="007978C7" w:rsidP="003244F5">
      <w:pPr>
        <w:spacing w:line="276" w:lineRule="auto"/>
        <w:ind w:left="0"/>
        <w:rPr>
          <w:rFonts w:cstheme="minorHAnsi"/>
          <w:sz w:val="24"/>
          <w:szCs w:val="24"/>
        </w:rPr>
      </w:pPr>
      <w:r w:rsidRPr="003244F5">
        <w:rPr>
          <w:rFonts w:cstheme="minorHAnsi"/>
          <w:sz w:val="24"/>
          <w:szCs w:val="24"/>
        </w:rPr>
        <w:t xml:space="preserve">Under the tax laws, dividend on shares is not deductible, while interest paid on borrowed capital is allowed as deduction under section 36(1)(iii). Cost of raising finance through borrowings is deductible in the year in which it is incurred. </w:t>
      </w:r>
      <w:proofErr w:type="gramStart"/>
      <w:r w:rsidRPr="003244F5">
        <w:rPr>
          <w:rFonts w:cstheme="minorHAnsi"/>
          <w:sz w:val="24"/>
          <w:szCs w:val="24"/>
        </w:rPr>
        <w:t>if</w:t>
      </w:r>
      <w:proofErr w:type="gramEnd"/>
      <w:r w:rsidRPr="003244F5">
        <w:rPr>
          <w:rFonts w:cstheme="minorHAnsi"/>
          <w:sz w:val="24"/>
          <w:szCs w:val="24"/>
        </w:rPr>
        <w:t xml:space="preserve"> however, it is incurred during pre-commencement period, it has to be capitalised. Cost of issue of shares is allowed as deduction in five years under section </w:t>
      </w:r>
      <w:r w:rsidR="004A266B">
        <w:rPr>
          <w:rFonts w:cstheme="minorHAnsi"/>
          <w:sz w:val="24"/>
          <w:szCs w:val="24"/>
        </w:rPr>
        <w:t>3</w:t>
      </w:r>
      <w:r w:rsidRPr="003244F5">
        <w:rPr>
          <w:rFonts w:cstheme="minorHAnsi"/>
          <w:sz w:val="24"/>
          <w:szCs w:val="24"/>
        </w:rPr>
        <w:t>5D. Because of the aforesaid provisions, corporate taxation plays an important role to determining the choice between different source of financing.</w:t>
      </w:r>
    </w:p>
    <w:p w14:paraId="7CC6B58F" w14:textId="6E30342B" w:rsidR="007978C7" w:rsidRPr="003244F5" w:rsidRDefault="007978C7" w:rsidP="003244F5">
      <w:pPr>
        <w:spacing w:line="276" w:lineRule="auto"/>
        <w:ind w:left="0"/>
        <w:rPr>
          <w:rFonts w:cstheme="minorHAnsi"/>
          <w:sz w:val="24"/>
          <w:szCs w:val="24"/>
        </w:rPr>
      </w:pPr>
    </w:p>
    <w:p w14:paraId="4A4E5453" w14:textId="08E73EE9" w:rsidR="007978C7" w:rsidRPr="003244F5" w:rsidRDefault="007978C7" w:rsidP="003244F5">
      <w:pPr>
        <w:spacing w:line="276" w:lineRule="auto"/>
        <w:ind w:left="0"/>
        <w:rPr>
          <w:rFonts w:cstheme="minorHAnsi"/>
          <w:sz w:val="24"/>
          <w:szCs w:val="24"/>
        </w:rPr>
      </w:pPr>
      <w:r w:rsidRPr="003244F5">
        <w:rPr>
          <w:rFonts w:cstheme="minorHAnsi"/>
          <w:sz w:val="24"/>
          <w:szCs w:val="24"/>
        </w:rPr>
        <w:t>Example</w:t>
      </w:r>
    </w:p>
    <w:p w14:paraId="2A6524B9" w14:textId="3517276E" w:rsidR="007978C7" w:rsidRPr="003244F5" w:rsidRDefault="007978C7" w:rsidP="003244F5">
      <w:pPr>
        <w:spacing w:line="276" w:lineRule="auto"/>
        <w:ind w:left="0"/>
        <w:rPr>
          <w:rFonts w:cstheme="minorHAnsi"/>
          <w:sz w:val="24"/>
          <w:szCs w:val="24"/>
        </w:rPr>
      </w:pPr>
      <w:proofErr w:type="spellStart"/>
      <w:r w:rsidRPr="003244F5">
        <w:rPr>
          <w:rFonts w:cstheme="minorHAnsi"/>
          <w:sz w:val="24"/>
          <w:szCs w:val="24"/>
        </w:rPr>
        <w:t>Tuktak</w:t>
      </w:r>
      <w:proofErr w:type="spellEnd"/>
      <w:r w:rsidRPr="003244F5">
        <w:rPr>
          <w:rFonts w:cstheme="minorHAnsi"/>
          <w:sz w:val="24"/>
          <w:szCs w:val="24"/>
        </w:rPr>
        <w:t xml:space="preserve"> ltd </w:t>
      </w:r>
      <w:r w:rsidR="00617478" w:rsidRPr="003244F5">
        <w:rPr>
          <w:rFonts w:cstheme="minorHAnsi"/>
          <w:sz w:val="24"/>
          <w:szCs w:val="24"/>
        </w:rPr>
        <w:t>is a widely-held company. It is currently considering a major expansion of its production facilities and the following alternatives are available:</w:t>
      </w:r>
    </w:p>
    <w:tbl>
      <w:tblPr>
        <w:tblStyle w:val="TableGrid"/>
        <w:tblW w:w="0" w:type="auto"/>
        <w:tblLook w:val="04A0" w:firstRow="1" w:lastRow="0" w:firstColumn="1" w:lastColumn="0" w:noHBand="0" w:noVBand="1"/>
      </w:tblPr>
      <w:tblGrid>
        <w:gridCol w:w="2254"/>
        <w:gridCol w:w="2254"/>
        <w:gridCol w:w="2254"/>
        <w:gridCol w:w="2254"/>
      </w:tblGrid>
      <w:tr w:rsidR="00617478" w:rsidRPr="003244F5" w14:paraId="6C47ACB4" w14:textId="77777777" w:rsidTr="00617478">
        <w:tc>
          <w:tcPr>
            <w:tcW w:w="2254" w:type="dxa"/>
          </w:tcPr>
          <w:p w14:paraId="6F7CAB8D" w14:textId="5D083397" w:rsidR="00617478" w:rsidRPr="003244F5" w:rsidRDefault="00617478" w:rsidP="003244F5">
            <w:pPr>
              <w:spacing w:line="276" w:lineRule="auto"/>
              <w:ind w:left="0"/>
              <w:rPr>
                <w:rFonts w:cstheme="minorHAnsi"/>
                <w:sz w:val="24"/>
                <w:szCs w:val="24"/>
              </w:rPr>
            </w:pPr>
            <w:r w:rsidRPr="003244F5">
              <w:rPr>
                <w:rFonts w:cstheme="minorHAnsi"/>
                <w:sz w:val="24"/>
                <w:szCs w:val="24"/>
              </w:rPr>
              <w:t>Particulars</w:t>
            </w:r>
            <w:r w:rsidRPr="003244F5">
              <w:rPr>
                <w:rFonts w:cstheme="minorHAnsi"/>
                <w:sz w:val="24"/>
                <w:szCs w:val="24"/>
              </w:rPr>
              <w:tab/>
            </w:r>
          </w:p>
        </w:tc>
        <w:tc>
          <w:tcPr>
            <w:tcW w:w="2254" w:type="dxa"/>
          </w:tcPr>
          <w:p w14:paraId="1CCE27B3" w14:textId="00972C63" w:rsidR="00617478" w:rsidRPr="003244F5" w:rsidRDefault="00617478" w:rsidP="003244F5">
            <w:pPr>
              <w:spacing w:line="276" w:lineRule="auto"/>
              <w:ind w:left="0"/>
              <w:rPr>
                <w:rFonts w:cstheme="minorHAnsi"/>
                <w:sz w:val="24"/>
                <w:szCs w:val="24"/>
              </w:rPr>
            </w:pPr>
            <w:r w:rsidRPr="003244F5">
              <w:rPr>
                <w:rFonts w:cstheme="minorHAnsi"/>
                <w:sz w:val="24"/>
                <w:szCs w:val="24"/>
              </w:rPr>
              <w:t>Alterntive-1₹</w:t>
            </w:r>
          </w:p>
        </w:tc>
        <w:tc>
          <w:tcPr>
            <w:tcW w:w="2254" w:type="dxa"/>
          </w:tcPr>
          <w:p w14:paraId="2BD5D206" w14:textId="6E4C2C9F" w:rsidR="00617478" w:rsidRPr="003244F5" w:rsidRDefault="00617478" w:rsidP="003244F5">
            <w:pPr>
              <w:spacing w:line="276" w:lineRule="auto"/>
              <w:ind w:left="0"/>
              <w:rPr>
                <w:rFonts w:cstheme="minorHAnsi"/>
                <w:sz w:val="24"/>
                <w:szCs w:val="24"/>
              </w:rPr>
            </w:pPr>
            <w:r w:rsidRPr="003244F5">
              <w:rPr>
                <w:rFonts w:cstheme="minorHAnsi"/>
                <w:sz w:val="24"/>
                <w:szCs w:val="24"/>
              </w:rPr>
              <w:t>Alternative-2 ₹</w:t>
            </w:r>
          </w:p>
        </w:tc>
        <w:tc>
          <w:tcPr>
            <w:tcW w:w="2254" w:type="dxa"/>
          </w:tcPr>
          <w:p w14:paraId="44E6FB68" w14:textId="170FC0FF" w:rsidR="00617478" w:rsidRPr="003244F5" w:rsidRDefault="00617478" w:rsidP="003244F5">
            <w:pPr>
              <w:spacing w:line="276" w:lineRule="auto"/>
              <w:ind w:left="0"/>
              <w:rPr>
                <w:rFonts w:cstheme="minorHAnsi"/>
                <w:sz w:val="24"/>
                <w:szCs w:val="24"/>
              </w:rPr>
            </w:pPr>
            <w:r w:rsidRPr="003244F5">
              <w:rPr>
                <w:rFonts w:cstheme="minorHAnsi"/>
                <w:sz w:val="24"/>
                <w:szCs w:val="24"/>
              </w:rPr>
              <w:t>Alternative-3 ₹</w:t>
            </w:r>
          </w:p>
        </w:tc>
      </w:tr>
      <w:tr w:rsidR="00617478" w:rsidRPr="003244F5" w14:paraId="14EA5506" w14:textId="77777777" w:rsidTr="00617478">
        <w:tc>
          <w:tcPr>
            <w:tcW w:w="2254" w:type="dxa"/>
          </w:tcPr>
          <w:p w14:paraId="14B97320" w14:textId="4E4ECEDD" w:rsidR="00617478" w:rsidRPr="003244F5" w:rsidRDefault="00617478" w:rsidP="003244F5">
            <w:pPr>
              <w:spacing w:line="276" w:lineRule="auto"/>
              <w:ind w:left="0"/>
              <w:rPr>
                <w:rFonts w:cstheme="minorHAnsi"/>
                <w:sz w:val="24"/>
                <w:szCs w:val="24"/>
              </w:rPr>
            </w:pPr>
            <w:r w:rsidRPr="003244F5">
              <w:rPr>
                <w:rFonts w:cstheme="minorHAnsi"/>
                <w:sz w:val="24"/>
                <w:szCs w:val="24"/>
              </w:rPr>
              <w:t>Share capital</w:t>
            </w:r>
          </w:p>
        </w:tc>
        <w:tc>
          <w:tcPr>
            <w:tcW w:w="2254" w:type="dxa"/>
          </w:tcPr>
          <w:p w14:paraId="29823E4F" w14:textId="40529C34" w:rsidR="00617478" w:rsidRPr="003244F5" w:rsidRDefault="00617478" w:rsidP="003244F5">
            <w:pPr>
              <w:spacing w:line="276" w:lineRule="auto"/>
              <w:ind w:left="0"/>
              <w:rPr>
                <w:rFonts w:cstheme="minorHAnsi"/>
                <w:sz w:val="24"/>
                <w:szCs w:val="24"/>
              </w:rPr>
            </w:pPr>
            <w:r w:rsidRPr="003244F5">
              <w:rPr>
                <w:rFonts w:cstheme="minorHAnsi"/>
                <w:sz w:val="24"/>
                <w:szCs w:val="24"/>
              </w:rPr>
              <w:t>5,00,00,000</w:t>
            </w:r>
          </w:p>
        </w:tc>
        <w:tc>
          <w:tcPr>
            <w:tcW w:w="2254" w:type="dxa"/>
          </w:tcPr>
          <w:p w14:paraId="049D3292" w14:textId="3563D024" w:rsidR="00617478" w:rsidRPr="003244F5" w:rsidRDefault="00617478" w:rsidP="003244F5">
            <w:pPr>
              <w:spacing w:line="276" w:lineRule="auto"/>
              <w:ind w:left="0"/>
              <w:rPr>
                <w:rFonts w:cstheme="minorHAnsi"/>
                <w:sz w:val="24"/>
                <w:szCs w:val="24"/>
              </w:rPr>
            </w:pPr>
            <w:r w:rsidRPr="003244F5">
              <w:rPr>
                <w:rFonts w:cstheme="minorHAnsi"/>
                <w:sz w:val="24"/>
                <w:szCs w:val="24"/>
              </w:rPr>
              <w:t>2,00,00,000</w:t>
            </w:r>
          </w:p>
        </w:tc>
        <w:tc>
          <w:tcPr>
            <w:tcW w:w="2254" w:type="dxa"/>
          </w:tcPr>
          <w:p w14:paraId="1DA9C4A9" w14:textId="2FEAEF93" w:rsidR="00617478" w:rsidRPr="003244F5" w:rsidRDefault="00617478" w:rsidP="003244F5">
            <w:pPr>
              <w:spacing w:line="276" w:lineRule="auto"/>
              <w:ind w:left="0"/>
              <w:rPr>
                <w:rFonts w:cstheme="minorHAnsi"/>
                <w:sz w:val="24"/>
                <w:szCs w:val="24"/>
              </w:rPr>
            </w:pPr>
            <w:r w:rsidRPr="003244F5">
              <w:rPr>
                <w:rFonts w:cstheme="minorHAnsi"/>
                <w:sz w:val="24"/>
                <w:szCs w:val="24"/>
              </w:rPr>
              <w:t>1,00,00,000</w:t>
            </w:r>
          </w:p>
        </w:tc>
      </w:tr>
      <w:tr w:rsidR="00617478" w:rsidRPr="003244F5" w14:paraId="6FF84395" w14:textId="77777777" w:rsidTr="00617478">
        <w:tc>
          <w:tcPr>
            <w:tcW w:w="2254" w:type="dxa"/>
          </w:tcPr>
          <w:p w14:paraId="7CCC818C" w14:textId="217656DA" w:rsidR="00617478" w:rsidRPr="003244F5" w:rsidRDefault="00617478" w:rsidP="003244F5">
            <w:pPr>
              <w:spacing w:line="276" w:lineRule="auto"/>
              <w:ind w:left="0"/>
              <w:rPr>
                <w:rFonts w:cstheme="minorHAnsi"/>
                <w:sz w:val="24"/>
                <w:szCs w:val="24"/>
              </w:rPr>
            </w:pPr>
            <w:r w:rsidRPr="003244F5">
              <w:rPr>
                <w:rFonts w:cstheme="minorHAnsi"/>
                <w:sz w:val="24"/>
                <w:szCs w:val="24"/>
              </w:rPr>
              <w:t>14% Debentures</w:t>
            </w:r>
          </w:p>
        </w:tc>
        <w:tc>
          <w:tcPr>
            <w:tcW w:w="2254" w:type="dxa"/>
          </w:tcPr>
          <w:p w14:paraId="4C92C4CE" w14:textId="53EEAC7B" w:rsidR="00617478" w:rsidRPr="003244F5" w:rsidRDefault="00617478" w:rsidP="003244F5">
            <w:pPr>
              <w:spacing w:line="276" w:lineRule="auto"/>
              <w:ind w:left="0"/>
              <w:rPr>
                <w:rFonts w:cstheme="minorHAnsi"/>
                <w:sz w:val="24"/>
                <w:szCs w:val="24"/>
              </w:rPr>
            </w:pPr>
            <w:r w:rsidRPr="003244F5">
              <w:rPr>
                <w:rFonts w:cstheme="minorHAnsi"/>
                <w:sz w:val="24"/>
                <w:szCs w:val="24"/>
              </w:rPr>
              <w:t>-</w:t>
            </w:r>
          </w:p>
        </w:tc>
        <w:tc>
          <w:tcPr>
            <w:tcW w:w="2254" w:type="dxa"/>
          </w:tcPr>
          <w:p w14:paraId="3594F0DF" w14:textId="6F072219" w:rsidR="00617478" w:rsidRPr="003244F5" w:rsidRDefault="00617478" w:rsidP="003244F5">
            <w:pPr>
              <w:spacing w:line="276" w:lineRule="auto"/>
              <w:ind w:left="0"/>
              <w:rPr>
                <w:rFonts w:cstheme="minorHAnsi"/>
                <w:sz w:val="24"/>
                <w:szCs w:val="24"/>
              </w:rPr>
            </w:pPr>
            <w:r w:rsidRPr="003244F5">
              <w:rPr>
                <w:rFonts w:cstheme="minorHAnsi"/>
                <w:sz w:val="24"/>
                <w:szCs w:val="24"/>
              </w:rPr>
              <w:t>2,00,00,000</w:t>
            </w:r>
          </w:p>
        </w:tc>
        <w:tc>
          <w:tcPr>
            <w:tcW w:w="2254" w:type="dxa"/>
          </w:tcPr>
          <w:p w14:paraId="2DE97347" w14:textId="7BA428A4" w:rsidR="00617478" w:rsidRPr="003244F5" w:rsidRDefault="00617478" w:rsidP="003244F5">
            <w:pPr>
              <w:spacing w:line="276" w:lineRule="auto"/>
              <w:ind w:left="0"/>
              <w:rPr>
                <w:rFonts w:cstheme="minorHAnsi"/>
                <w:sz w:val="24"/>
                <w:szCs w:val="24"/>
              </w:rPr>
            </w:pPr>
            <w:r w:rsidRPr="003244F5">
              <w:rPr>
                <w:rFonts w:cstheme="minorHAnsi"/>
                <w:sz w:val="24"/>
                <w:szCs w:val="24"/>
              </w:rPr>
              <w:t>1,50,00,000</w:t>
            </w:r>
          </w:p>
        </w:tc>
      </w:tr>
      <w:tr w:rsidR="00617478" w:rsidRPr="003244F5" w14:paraId="2B1ECE5E" w14:textId="77777777" w:rsidTr="00617478">
        <w:tc>
          <w:tcPr>
            <w:tcW w:w="2254" w:type="dxa"/>
          </w:tcPr>
          <w:p w14:paraId="22458E56" w14:textId="49D62EF7" w:rsidR="00617478" w:rsidRPr="003244F5" w:rsidRDefault="00617478" w:rsidP="003244F5">
            <w:pPr>
              <w:spacing w:line="276" w:lineRule="auto"/>
              <w:ind w:left="0"/>
              <w:rPr>
                <w:rFonts w:cstheme="minorHAnsi"/>
                <w:sz w:val="24"/>
                <w:szCs w:val="24"/>
              </w:rPr>
            </w:pPr>
            <w:r w:rsidRPr="003244F5">
              <w:rPr>
                <w:rFonts w:cstheme="minorHAnsi"/>
                <w:sz w:val="24"/>
                <w:szCs w:val="24"/>
              </w:rPr>
              <w:t>18% loan from Banks</w:t>
            </w:r>
          </w:p>
        </w:tc>
        <w:tc>
          <w:tcPr>
            <w:tcW w:w="2254" w:type="dxa"/>
          </w:tcPr>
          <w:p w14:paraId="61723F99" w14:textId="38D49272" w:rsidR="00617478" w:rsidRPr="003244F5" w:rsidRDefault="00617478" w:rsidP="003244F5">
            <w:pPr>
              <w:spacing w:line="276" w:lineRule="auto"/>
              <w:ind w:left="0"/>
              <w:rPr>
                <w:rFonts w:cstheme="minorHAnsi"/>
                <w:sz w:val="24"/>
                <w:szCs w:val="24"/>
              </w:rPr>
            </w:pPr>
            <w:r w:rsidRPr="003244F5">
              <w:rPr>
                <w:rFonts w:cstheme="minorHAnsi"/>
                <w:sz w:val="24"/>
                <w:szCs w:val="24"/>
              </w:rPr>
              <w:t>-</w:t>
            </w:r>
          </w:p>
        </w:tc>
        <w:tc>
          <w:tcPr>
            <w:tcW w:w="2254" w:type="dxa"/>
          </w:tcPr>
          <w:p w14:paraId="76FEBFEC" w14:textId="0A7759B2" w:rsidR="00617478" w:rsidRPr="003244F5" w:rsidRDefault="00617478" w:rsidP="003244F5">
            <w:pPr>
              <w:spacing w:line="276" w:lineRule="auto"/>
              <w:ind w:left="0"/>
              <w:rPr>
                <w:rFonts w:cstheme="minorHAnsi"/>
                <w:sz w:val="24"/>
                <w:szCs w:val="24"/>
              </w:rPr>
            </w:pPr>
            <w:r w:rsidRPr="003244F5">
              <w:rPr>
                <w:rFonts w:cstheme="minorHAnsi"/>
                <w:sz w:val="24"/>
                <w:szCs w:val="24"/>
              </w:rPr>
              <w:t>1,00,00,000</w:t>
            </w:r>
          </w:p>
        </w:tc>
        <w:tc>
          <w:tcPr>
            <w:tcW w:w="2254" w:type="dxa"/>
          </w:tcPr>
          <w:p w14:paraId="2615BDCB" w14:textId="4740290F" w:rsidR="00617478" w:rsidRPr="003244F5" w:rsidRDefault="00617478" w:rsidP="003244F5">
            <w:pPr>
              <w:spacing w:line="276" w:lineRule="auto"/>
              <w:ind w:left="0"/>
              <w:rPr>
                <w:rFonts w:cstheme="minorHAnsi"/>
                <w:sz w:val="24"/>
                <w:szCs w:val="24"/>
              </w:rPr>
            </w:pPr>
            <w:r w:rsidRPr="003244F5">
              <w:rPr>
                <w:rFonts w:cstheme="minorHAnsi"/>
                <w:sz w:val="24"/>
                <w:szCs w:val="24"/>
              </w:rPr>
              <w:t>2,50,00,000</w:t>
            </w:r>
          </w:p>
        </w:tc>
      </w:tr>
    </w:tbl>
    <w:p w14:paraId="54506E84" w14:textId="0373F5C0" w:rsidR="00617478" w:rsidRPr="003244F5" w:rsidRDefault="00617478" w:rsidP="003244F5">
      <w:pPr>
        <w:spacing w:line="276" w:lineRule="auto"/>
        <w:ind w:left="0"/>
        <w:rPr>
          <w:rFonts w:cstheme="minorHAnsi"/>
          <w:sz w:val="24"/>
          <w:szCs w:val="24"/>
        </w:rPr>
      </w:pPr>
    </w:p>
    <w:p w14:paraId="12A77D4D" w14:textId="1CC3C5F7" w:rsidR="00617478" w:rsidRPr="003244F5" w:rsidRDefault="00617478" w:rsidP="003244F5">
      <w:pPr>
        <w:spacing w:line="276" w:lineRule="auto"/>
        <w:ind w:left="0"/>
        <w:rPr>
          <w:rFonts w:cstheme="minorHAnsi"/>
          <w:sz w:val="24"/>
          <w:szCs w:val="24"/>
        </w:rPr>
      </w:pPr>
      <w:r w:rsidRPr="003244F5">
        <w:rPr>
          <w:rFonts w:cstheme="minorHAnsi"/>
          <w:sz w:val="24"/>
          <w:szCs w:val="24"/>
        </w:rPr>
        <w:t xml:space="preserve">Expected rate of return before tax is 25%. The rate of dividend of the company since 1990 is not less than 20% and the date of dividend declaration is June 30 every year. Suggest which alternative is the best for the </w:t>
      </w:r>
      <w:proofErr w:type="spellStart"/>
      <w:r w:rsidRPr="003244F5">
        <w:rPr>
          <w:rFonts w:cstheme="minorHAnsi"/>
          <w:sz w:val="24"/>
          <w:szCs w:val="24"/>
        </w:rPr>
        <w:t>Tuktak</w:t>
      </w:r>
      <w:proofErr w:type="spellEnd"/>
      <w:r w:rsidRPr="003244F5">
        <w:rPr>
          <w:rFonts w:cstheme="minorHAnsi"/>
          <w:sz w:val="24"/>
          <w:szCs w:val="24"/>
        </w:rPr>
        <w:t xml:space="preserve"> ltd for the tax point of view?</w:t>
      </w:r>
    </w:p>
    <w:p w14:paraId="1D8E4A15" w14:textId="76BCC7B1" w:rsidR="00617478" w:rsidRPr="003244F5" w:rsidRDefault="00617478" w:rsidP="003244F5">
      <w:pPr>
        <w:spacing w:line="276" w:lineRule="auto"/>
        <w:ind w:left="0"/>
        <w:rPr>
          <w:rFonts w:cstheme="minorHAnsi"/>
          <w:sz w:val="24"/>
          <w:szCs w:val="24"/>
        </w:rPr>
      </w:pPr>
    </w:p>
    <w:p w14:paraId="4345B6C1" w14:textId="3189ECA6" w:rsidR="00617478" w:rsidRPr="003244F5" w:rsidRDefault="00617478" w:rsidP="003244F5">
      <w:pPr>
        <w:spacing w:line="276" w:lineRule="auto"/>
        <w:ind w:left="0"/>
        <w:rPr>
          <w:rFonts w:cstheme="minorHAnsi"/>
          <w:sz w:val="24"/>
          <w:szCs w:val="24"/>
        </w:rPr>
      </w:pPr>
      <w:r w:rsidRPr="003244F5">
        <w:rPr>
          <w:rFonts w:cstheme="minorHAnsi"/>
          <w:sz w:val="24"/>
          <w:szCs w:val="24"/>
        </w:rPr>
        <w:t>Solution</w:t>
      </w:r>
    </w:p>
    <w:p w14:paraId="13487D0A" w14:textId="2313A0C4" w:rsidR="00617478" w:rsidRPr="003244F5" w:rsidRDefault="00617478" w:rsidP="003244F5">
      <w:pPr>
        <w:spacing w:line="276" w:lineRule="auto"/>
        <w:ind w:left="0"/>
        <w:rPr>
          <w:rFonts w:cstheme="minorHAnsi"/>
          <w:sz w:val="24"/>
          <w:szCs w:val="24"/>
        </w:rPr>
      </w:pPr>
      <w:r w:rsidRPr="003244F5">
        <w:rPr>
          <w:rFonts w:cstheme="minorHAnsi"/>
          <w:sz w:val="24"/>
          <w:szCs w:val="24"/>
        </w:rPr>
        <w:t>Capital Structure Decision</w:t>
      </w:r>
    </w:p>
    <w:p w14:paraId="7AC2ED39" w14:textId="77777777" w:rsidR="00617478" w:rsidRPr="003244F5" w:rsidRDefault="00617478" w:rsidP="003244F5">
      <w:pPr>
        <w:spacing w:line="276" w:lineRule="auto"/>
        <w:ind w:left="0"/>
        <w:rPr>
          <w:rFonts w:cstheme="minorHAnsi"/>
          <w:sz w:val="24"/>
          <w:szCs w:val="24"/>
        </w:rPr>
      </w:pPr>
    </w:p>
    <w:tbl>
      <w:tblPr>
        <w:tblStyle w:val="TableGrid"/>
        <w:tblW w:w="0" w:type="auto"/>
        <w:tblLook w:val="04A0" w:firstRow="1" w:lastRow="0" w:firstColumn="1" w:lastColumn="0" w:noHBand="0" w:noVBand="1"/>
      </w:tblPr>
      <w:tblGrid>
        <w:gridCol w:w="2052"/>
        <w:gridCol w:w="2918"/>
        <w:gridCol w:w="2023"/>
        <w:gridCol w:w="2023"/>
      </w:tblGrid>
      <w:tr w:rsidR="00617478" w:rsidRPr="003244F5" w14:paraId="3400908B" w14:textId="77777777" w:rsidTr="00617478">
        <w:tc>
          <w:tcPr>
            <w:tcW w:w="2254" w:type="dxa"/>
          </w:tcPr>
          <w:p w14:paraId="39EC995C" w14:textId="3587238B" w:rsidR="00617478" w:rsidRPr="003244F5" w:rsidRDefault="00617478" w:rsidP="003244F5">
            <w:pPr>
              <w:spacing w:line="276" w:lineRule="auto"/>
              <w:ind w:left="0"/>
              <w:rPr>
                <w:rFonts w:cstheme="minorHAnsi"/>
                <w:sz w:val="24"/>
                <w:szCs w:val="24"/>
              </w:rPr>
            </w:pPr>
            <w:r w:rsidRPr="003244F5">
              <w:rPr>
                <w:rFonts w:cstheme="minorHAnsi"/>
                <w:sz w:val="24"/>
                <w:szCs w:val="24"/>
              </w:rPr>
              <w:t>Particulars</w:t>
            </w:r>
            <w:r w:rsidRPr="003244F5">
              <w:rPr>
                <w:rFonts w:cstheme="minorHAnsi"/>
                <w:sz w:val="24"/>
                <w:szCs w:val="24"/>
              </w:rPr>
              <w:tab/>
            </w:r>
          </w:p>
        </w:tc>
        <w:tc>
          <w:tcPr>
            <w:tcW w:w="2254" w:type="dxa"/>
          </w:tcPr>
          <w:p w14:paraId="44C433B1" w14:textId="1C6B56A7" w:rsidR="00617478" w:rsidRPr="003244F5" w:rsidRDefault="00617478" w:rsidP="003244F5">
            <w:pPr>
              <w:spacing w:line="276" w:lineRule="auto"/>
              <w:ind w:left="0"/>
              <w:rPr>
                <w:rFonts w:cstheme="minorHAnsi"/>
                <w:sz w:val="24"/>
                <w:szCs w:val="24"/>
              </w:rPr>
            </w:pPr>
            <w:r w:rsidRPr="003244F5">
              <w:rPr>
                <w:rFonts w:cstheme="minorHAnsi"/>
                <w:sz w:val="24"/>
                <w:szCs w:val="24"/>
              </w:rPr>
              <w:t>Alterntive-1₹</w:t>
            </w:r>
          </w:p>
        </w:tc>
        <w:tc>
          <w:tcPr>
            <w:tcW w:w="2254" w:type="dxa"/>
          </w:tcPr>
          <w:p w14:paraId="35FFDBE7" w14:textId="5CE7FF43" w:rsidR="00617478" w:rsidRPr="003244F5" w:rsidRDefault="00617478" w:rsidP="003244F5">
            <w:pPr>
              <w:spacing w:line="276" w:lineRule="auto"/>
              <w:ind w:left="0"/>
              <w:rPr>
                <w:rFonts w:cstheme="minorHAnsi"/>
                <w:sz w:val="24"/>
                <w:szCs w:val="24"/>
              </w:rPr>
            </w:pPr>
            <w:r w:rsidRPr="003244F5">
              <w:rPr>
                <w:rFonts w:cstheme="minorHAnsi"/>
                <w:sz w:val="24"/>
                <w:szCs w:val="24"/>
              </w:rPr>
              <w:t>Alternative-2 ₹</w:t>
            </w:r>
          </w:p>
        </w:tc>
        <w:tc>
          <w:tcPr>
            <w:tcW w:w="2254" w:type="dxa"/>
          </w:tcPr>
          <w:p w14:paraId="33A3F526" w14:textId="4B3888D4" w:rsidR="00617478" w:rsidRPr="003244F5" w:rsidRDefault="00617478" w:rsidP="003244F5">
            <w:pPr>
              <w:spacing w:line="276" w:lineRule="auto"/>
              <w:ind w:left="0"/>
              <w:rPr>
                <w:rFonts w:cstheme="minorHAnsi"/>
                <w:sz w:val="24"/>
                <w:szCs w:val="24"/>
              </w:rPr>
            </w:pPr>
            <w:r w:rsidRPr="003244F5">
              <w:rPr>
                <w:rFonts w:cstheme="minorHAnsi"/>
                <w:sz w:val="24"/>
                <w:szCs w:val="24"/>
              </w:rPr>
              <w:t>Alternative-3 ₹</w:t>
            </w:r>
          </w:p>
        </w:tc>
      </w:tr>
      <w:tr w:rsidR="00617478" w:rsidRPr="003244F5" w14:paraId="1B12ECE5" w14:textId="77777777" w:rsidTr="00617478">
        <w:tc>
          <w:tcPr>
            <w:tcW w:w="2254" w:type="dxa"/>
          </w:tcPr>
          <w:p w14:paraId="14B5E0E4" w14:textId="390E4AB8" w:rsidR="00617478" w:rsidRPr="003244F5" w:rsidRDefault="00617478" w:rsidP="003244F5">
            <w:pPr>
              <w:spacing w:line="276" w:lineRule="auto"/>
              <w:ind w:left="0"/>
              <w:rPr>
                <w:rFonts w:cstheme="minorHAnsi"/>
                <w:sz w:val="24"/>
                <w:szCs w:val="24"/>
              </w:rPr>
            </w:pPr>
            <w:r w:rsidRPr="003244F5">
              <w:rPr>
                <w:rFonts w:cstheme="minorHAnsi"/>
                <w:sz w:val="24"/>
                <w:szCs w:val="24"/>
              </w:rPr>
              <w:t>Return on 5 Crore</w:t>
            </w:r>
          </w:p>
        </w:tc>
        <w:tc>
          <w:tcPr>
            <w:tcW w:w="2254" w:type="dxa"/>
          </w:tcPr>
          <w:p w14:paraId="20814DBE" w14:textId="4CCD656F" w:rsidR="00617478" w:rsidRPr="003244F5" w:rsidRDefault="00617478" w:rsidP="003244F5">
            <w:pPr>
              <w:spacing w:line="276" w:lineRule="auto"/>
              <w:ind w:left="0"/>
              <w:rPr>
                <w:rFonts w:cstheme="minorHAnsi"/>
                <w:sz w:val="24"/>
                <w:szCs w:val="24"/>
              </w:rPr>
            </w:pPr>
            <w:r w:rsidRPr="003244F5">
              <w:rPr>
                <w:rFonts w:cstheme="minorHAnsi"/>
                <w:sz w:val="24"/>
                <w:szCs w:val="24"/>
              </w:rPr>
              <w:t>1,25,00,000</w:t>
            </w:r>
          </w:p>
        </w:tc>
        <w:tc>
          <w:tcPr>
            <w:tcW w:w="2254" w:type="dxa"/>
          </w:tcPr>
          <w:p w14:paraId="1B902D5F" w14:textId="7919F63A" w:rsidR="00617478" w:rsidRPr="003244F5" w:rsidRDefault="00617478" w:rsidP="003244F5">
            <w:pPr>
              <w:spacing w:line="276" w:lineRule="auto"/>
              <w:ind w:left="0"/>
              <w:rPr>
                <w:rFonts w:cstheme="minorHAnsi"/>
                <w:sz w:val="24"/>
                <w:szCs w:val="24"/>
              </w:rPr>
            </w:pPr>
            <w:r w:rsidRPr="003244F5">
              <w:rPr>
                <w:rFonts w:cstheme="minorHAnsi"/>
                <w:sz w:val="24"/>
                <w:szCs w:val="24"/>
              </w:rPr>
              <w:t>1,25,00,000</w:t>
            </w:r>
          </w:p>
        </w:tc>
        <w:tc>
          <w:tcPr>
            <w:tcW w:w="2254" w:type="dxa"/>
          </w:tcPr>
          <w:p w14:paraId="05294399" w14:textId="7408000F" w:rsidR="00617478" w:rsidRPr="003244F5" w:rsidRDefault="00617478" w:rsidP="003244F5">
            <w:pPr>
              <w:spacing w:line="276" w:lineRule="auto"/>
              <w:ind w:left="0"/>
              <w:rPr>
                <w:rFonts w:cstheme="minorHAnsi"/>
                <w:sz w:val="24"/>
                <w:szCs w:val="24"/>
              </w:rPr>
            </w:pPr>
            <w:r w:rsidRPr="003244F5">
              <w:rPr>
                <w:rFonts w:cstheme="minorHAnsi"/>
                <w:sz w:val="24"/>
                <w:szCs w:val="24"/>
              </w:rPr>
              <w:t>1,25,00,000</w:t>
            </w:r>
          </w:p>
        </w:tc>
      </w:tr>
      <w:tr w:rsidR="00617478" w:rsidRPr="003244F5" w14:paraId="06460E89" w14:textId="77777777" w:rsidTr="00617478">
        <w:tc>
          <w:tcPr>
            <w:tcW w:w="2254" w:type="dxa"/>
          </w:tcPr>
          <w:p w14:paraId="789E6397" w14:textId="7455397A" w:rsidR="00617478" w:rsidRPr="003244F5" w:rsidRDefault="00617478" w:rsidP="003244F5">
            <w:pPr>
              <w:spacing w:line="276" w:lineRule="auto"/>
              <w:ind w:left="0"/>
              <w:rPr>
                <w:rFonts w:cstheme="minorHAnsi"/>
                <w:sz w:val="24"/>
                <w:szCs w:val="24"/>
              </w:rPr>
            </w:pPr>
            <w:r w:rsidRPr="003244F5">
              <w:rPr>
                <w:rFonts w:cstheme="minorHAnsi"/>
                <w:sz w:val="24"/>
                <w:szCs w:val="24"/>
              </w:rPr>
              <w:lastRenderedPageBreak/>
              <w:t>Less: Interest on debenture</w:t>
            </w:r>
          </w:p>
        </w:tc>
        <w:tc>
          <w:tcPr>
            <w:tcW w:w="2254" w:type="dxa"/>
          </w:tcPr>
          <w:p w14:paraId="6F5F97AE" w14:textId="2A33B382" w:rsidR="00617478" w:rsidRPr="003244F5" w:rsidRDefault="00617478" w:rsidP="003244F5">
            <w:pPr>
              <w:spacing w:line="276" w:lineRule="auto"/>
              <w:ind w:left="0"/>
              <w:rPr>
                <w:rFonts w:cstheme="minorHAnsi"/>
                <w:sz w:val="24"/>
                <w:szCs w:val="24"/>
              </w:rPr>
            </w:pPr>
            <w:r w:rsidRPr="003244F5">
              <w:rPr>
                <w:rFonts w:cstheme="minorHAnsi"/>
                <w:sz w:val="24"/>
                <w:szCs w:val="24"/>
              </w:rPr>
              <w:t>Nil</w:t>
            </w:r>
          </w:p>
        </w:tc>
        <w:tc>
          <w:tcPr>
            <w:tcW w:w="2254" w:type="dxa"/>
          </w:tcPr>
          <w:p w14:paraId="414AE9EB" w14:textId="53756075" w:rsidR="00617478" w:rsidRPr="003244F5" w:rsidRDefault="00617478" w:rsidP="003244F5">
            <w:pPr>
              <w:spacing w:line="276" w:lineRule="auto"/>
              <w:ind w:left="0"/>
              <w:rPr>
                <w:rFonts w:cstheme="minorHAnsi"/>
                <w:sz w:val="24"/>
                <w:szCs w:val="24"/>
              </w:rPr>
            </w:pPr>
            <w:r w:rsidRPr="003244F5">
              <w:rPr>
                <w:rFonts w:cstheme="minorHAnsi"/>
                <w:sz w:val="24"/>
                <w:szCs w:val="24"/>
              </w:rPr>
              <w:t>28,00,000 (14% of 2 crore)</w:t>
            </w:r>
          </w:p>
        </w:tc>
        <w:tc>
          <w:tcPr>
            <w:tcW w:w="2254" w:type="dxa"/>
          </w:tcPr>
          <w:p w14:paraId="71FCB203" w14:textId="7CA9B7BE" w:rsidR="00617478" w:rsidRPr="003244F5" w:rsidRDefault="00617478" w:rsidP="003244F5">
            <w:pPr>
              <w:spacing w:line="276" w:lineRule="auto"/>
              <w:ind w:left="0"/>
              <w:rPr>
                <w:rFonts w:cstheme="minorHAnsi"/>
                <w:sz w:val="24"/>
                <w:szCs w:val="24"/>
              </w:rPr>
            </w:pPr>
            <w:r w:rsidRPr="003244F5">
              <w:rPr>
                <w:rFonts w:cstheme="minorHAnsi"/>
                <w:sz w:val="24"/>
                <w:szCs w:val="24"/>
              </w:rPr>
              <w:t>21,00,000</w:t>
            </w:r>
          </w:p>
        </w:tc>
      </w:tr>
      <w:tr w:rsidR="00617478" w:rsidRPr="003244F5" w14:paraId="2FA514C8" w14:textId="77777777" w:rsidTr="00617478">
        <w:tc>
          <w:tcPr>
            <w:tcW w:w="2254" w:type="dxa"/>
          </w:tcPr>
          <w:p w14:paraId="5EF16DC0" w14:textId="444A21B5" w:rsidR="00617478" w:rsidRPr="003244F5" w:rsidRDefault="00617478" w:rsidP="003244F5">
            <w:pPr>
              <w:spacing w:line="276" w:lineRule="auto"/>
              <w:ind w:left="0"/>
              <w:rPr>
                <w:rFonts w:cstheme="minorHAnsi"/>
                <w:sz w:val="24"/>
                <w:szCs w:val="24"/>
              </w:rPr>
            </w:pPr>
            <w:r w:rsidRPr="003244F5">
              <w:rPr>
                <w:rFonts w:cstheme="minorHAnsi"/>
                <w:sz w:val="24"/>
                <w:szCs w:val="24"/>
              </w:rPr>
              <w:t>Less Interest on Loan</w:t>
            </w:r>
          </w:p>
        </w:tc>
        <w:tc>
          <w:tcPr>
            <w:tcW w:w="2254" w:type="dxa"/>
          </w:tcPr>
          <w:p w14:paraId="6F0C3AFC" w14:textId="4FDBFA89" w:rsidR="00617478" w:rsidRPr="003244F5" w:rsidRDefault="00617478" w:rsidP="003244F5">
            <w:pPr>
              <w:spacing w:line="276" w:lineRule="auto"/>
              <w:ind w:left="0"/>
              <w:rPr>
                <w:rFonts w:cstheme="minorHAnsi"/>
                <w:sz w:val="24"/>
                <w:szCs w:val="24"/>
              </w:rPr>
            </w:pPr>
            <w:r w:rsidRPr="003244F5">
              <w:rPr>
                <w:rFonts w:cstheme="minorHAnsi"/>
                <w:sz w:val="24"/>
                <w:szCs w:val="24"/>
              </w:rPr>
              <w:t>Nil</w:t>
            </w:r>
          </w:p>
        </w:tc>
        <w:tc>
          <w:tcPr>
            <w:tcW w:w="2254" w:type="dxa"/>
          </w:tcPr>
          <w:p w14:paraId="433FC664" w14:textId="3859A310" w:rsidR="00617478" w:rsidRPr="003244F5" w:rsidRDefault="00617478" w:rsidP="003244F5">
            <w:pPr>
              <w:spacing w:line="276" w:lineRule="auto"/>
              <w:ind w:left="0"/>
              <w:rPr>
                <w:rFonts w:cstheme="minorHAnsi"/>
                <w:sz w:val="24"/>
                <w:szCs w:val="24"/>
              </w:rPr>
            </w:pPr>
            <w:r w:rsidRPr="003244F5">
              <w:rPr>
                <w:rFonts w:cstheme="minorHAnsi"/>
                <w:sz w:val="24"/>
                <w:szCs w:val="24"/>
              </w:rPr>
              <w:t>18,00,000</w:t>
            </w:r>
          </w:p>
        </w:tc>
        <w:tc>
          <w:tcPr>
            <w:tcW w:w="2254" w:type="dxa"/>
          </w:tcPr>
          <w:p w14:paraId="00AAB316" w14:textId="5E7A73D0" w:rsidR="00617478" w:rsidRPr="003244F5" w:rsidRDefault="00617478" w:rsidP="003244F5">
            <w:pPr>
              <w:spacing w:line="276" w:lineRule="auto"/>
              <w:ind w:left="0"/>
              <w:rPr>
                <w:rFonts w:cstheme="minorHAnsi"/>
                <w:sz w:val="24"/>
                <w:szCs w:val="24"/>
              </w:rPr>
            </w:pPr>
            <w:r w:rsidRPr="003244F5">
              <w:rPr>
                <w:rFonts w:cstheme="minorHAnsi"/>
                <w:sz w:val="24"/>
                <w:szCs w:val="24"/>
              </w:rPr>
              <w:t>45,00,000</w:t>
            </w:r>
          </w:p>
        </w:tc>
      </w:tr>
      <w:tr w:rsidR="00617478" w:rsidRPr="003244F5" w14:paraId="03FAB645" w14:textId="77777777" w:rsidTr="00617478">
        <w:tc>
          <w:tcPr>
            <w:tcW w:w="2254" w:type="dxa"/>
          </w:tcPr>
          <w:p w14:paraId="3CC5D4A2" w14:textId="4B135B9E" w:rsidR="00617478" w:rsidRPr="003244F5" w:rsidRDefault="00617478" w:rsidP="003244F5">
            <w:pPr>
              <w:spacing w:line="276" w:lineRule="auto"/>
              <w:ind w:left="0"/>
              <w:rPr>
                <w:rFonts w:cstheme="minorHAnsi"/>
                <w:sz w:val="24"/>
                <w:szCs w:val="24"/>
              </w:rPr>
            </w:pPr>
            <w:r w:rsidRPr="003244F5">
              <w:rPr>
                <w:rFonts w:cstheme="minorHAnsi"/>
                <w:sz w:val="24"/>
                <w:szCs w:val="24"/>
              </w:rPr>
              <w:t>Taxable Profit</w:t>
            </w:r>
            <w:r w:rsidR="00C61801" w:rsidRPr="003244F5">
              <w:rPr>
                <w:rFonts w:cstheme="minorHAnsi"/>
                <w:sz w:val="24"/>
                <w:szCs w:val="24"/>
              </w:rPr>
              <w:t xml:space="preserve"> (A)</w:t>
            </w:r>
          </w:p>
        </w:tc>
        <w:tc>
          <w:tcPr>
            <w:tcW w:w="2254" w:type="dxa"/>
          </w:tcPr>
          <w:p w14:paraId="0C7B22E5" w14:textId="7BCC20CD" w:rsidR="00617478" w:rsidRPr="003244F5" w:rsidRDefault="00617478" w:rsidP="003244F5">
            <w:pPr>
              <w:spacing w:line="276" w:lineRule="auto"/>
              <w:ind w:left="0"/>
              <w:rPr>
                <w:rFonts w:cstheme="minorHAnsi"/>
                <w:sz w:val="24"/>
                <w:szCs w:val="24"/>
              </w:rPr>
            </w:pPr>
            <w:r w:rsidRPr="003244F5">
              <w:rPr>
                <w:rFonts w:cstheme="minorHAnsi"/>
                <w:sz w:val="24"/>
                <w:szCs w:val="24"/>
              </w:rPr>
              <w:t>1,25,00,000</w:t>
            </w:r>
          </w:p>
        </w:tc>
        <w:tc>
          <w:tcPr>
            <w:tcW w:w="2254" w:type="dxa"/>
          </w:tcPr>
          <w:p w14:paraId="6AF66F13" w14:textId="48511C40" w:rsidR="00617478" w:rsidRPr="003244F5" w:rsidRDefault="00C61801" w:rsidP="003244F5">
            <w:pPr>
              <w:spacing w:line="276" w:lineRule="auto"/>
              <w:ind w:left="0"/>
              <w:rPr>
                <w:rFonts w:cstheme="minorHAnsi"/>
                <w:sz w:val="24"/>
                <w:szCs w:val="24"/>
              </w:rPr>
            </w:pPr>
            <w:r w:rsidRPr="003244F5">
              <w:rPr>
                <w:rFonts w:cstheme="minorHAnsi"/>
                <w:sz w:val="24"/>
                <w:szCs w:val="24"/>
              </w:rPr>
              <w:t>79,00,000</w:t>
            </w:r>
          </w:p>
        </w:tc>
        <w:tc>
          <w:tcPr>
            <w:tcW w:w="2254" w:type="dxa"/>
          </w:tcPr>
          <w:p w14:paraId="0B101B79" w14:textId="653ADF7A" w:rsidR="00617478" w:rsidRPr="003244F5" w:rsidRDefault="00C61801" w:rsidP="003244F5">
            <w:pPr>
              <w:spacing w:line="276" w:lineRule="auto"/>
              <w:ind w:left="0"/>
              <w:rPr>
                <w:rFonts w:cstheme="minorHAnsi"/>
                <w:sz w:val="24"/>
                <w:szCs w:val="24"/>
              </w:rPr>
            </w:pPr>
            <w:r w:rsidRPr="003244F5">
              <w:rPr>
                <w:rFonts w:cstheme="minorHAnsi"/>
                <w:sz w:val="24"/>
                <w:szCs w:val="24"/>
              </w:rPr>
              <w:t>59,00,000</w:t>
            </w:r>
          </w:p>
        </w:tc>
      </w:tr>
      <w:tr w:rsidR="00C61801" w:rsidRPr="003244F5" w14:paraId="0718CE7D" w14:textId="77777777" w:rsidTr="00617478">
        <w:tc>
          <w:tcPr>
            <w:tcW w:w="2254" w:type="dxa"/>
          </w:tcPr>
          <w:p w14:paraId="12BB81D5"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Tax@30%</w:t>
            </w:r>
          </w:p>
          <w:p w14:paraId="4F2ADCD8"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Add surcharge 7%</w:t>
            </w:r>
          </w:p>
          <w:p w14:paraId="23C25C7A"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Total</w:t>
            </w:r>
          </w:p>
          <w:p w14:paraId="6A730795"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 xml:space="preserve">Health &amp; Education cess 4% </w:t>
            </w:r>
          </w:p>
          <w:p w14:paraId="7B03AB04" w14:textId="612A8513" w:rsidR="00C61801" w:rsidRPr="003244F5" w:rsidRDefault="00C61801" w:rsidP="003244F5">
            <w:pPr>
              <w:spacing w:line="276" w:lineRule="auto"/>
              <w:ind w:left="0"/>
              <w:rPr>
                <w:rFonts w:cstheme="minorHAnsi"/>
                <w:sz w:val="24"/>
                <w:szCs w:val="24"/>
              </w:rPr>
            </w:pPr>
            <w:r w:rsidRPr="003244F5">
              <w:rPr>
                <w:rFonts w:cstheme="minorHAnsi"/>
                <w:sz w:val="24"/>
                <w:szCs w:val="24"/>
              </w:rPr>
              <w:t>Total Tax Payable (B)</w:t>
            </w:r>
          </w:p>
        </w:tc>
        <w:tc>
          <w:tcPr>
            <w:tcW w:w="2254" w:type="dxa"/>
          </w:tcPr>
          <w:p w14:paraId="78AE4E80"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37,50,000</w:t>
            </w:r>
          </w:p>
          <w:p w14:paraId="1D5CD71D"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2,62500</w:t>
            </w:r>
          </w:p>
          <w:p w14:paraId="32109EFE"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40,12,500</w:t>
            </w:r>
          </w:p>
          <w:p w14:paraId="77DBCE85" w14:textId="77777777" w:rsidR="00C61801" w:rsidRPr="003244F5" w:rsidRDefault="00C61801" w:rsidP="003244F5">
            <w:pPr>
              <w:spacing w:line="276" w:lineRule="auto"/>
              <w:ind w:left="0"/>
              <w:rPr>
                <w:rFonts w:cstheme="minorHAnsi"/>
                <w:sz w:val="24"/>
                <w:szCs w:val="24"/>
              </w:rPr>
            </w:pPr>
          </w:p>
          <w:p w14:paraId="05C14DF4" w14:textId="301ABFC0" w:rsidR="00C61801" w:rsidRPr="003244F5" w:rsidRDefault="00C61801" w:rsidP="003244F5">
            <w:pPr>
              <w:spacing w:line="276" w:lineRule="auto"/>
              <w:ind w:left="0"/>
              <w:rPr>
                <w:rFonts w:cstheme="minorHAnsi"/>
                <w:sz w:val="24"/>
                <w:szCs w:val="24"/>
              </w:rPr>
            </w:pPr>
            <w:r w:rsidRPr="003244F5">
              <w:rPr>
                <w:rFonts w:cstheme="minorHAnsi"/>
                <w:sz w:val="24"/>
                <w:szCs w:val="24"/>
              </w:rPr>
              <w:t>1,60,500</w:t>
            </w:r>
          </w:p>
          <w:p w14:paraId="6A951C69" w14:textId="0A1ECD21" w:rsidR="00C61801" w:rsidRPr="003244F5" w:rsidRDefault="00C61801" w:rsidP="003244F5">
            <w:pPr>
              <w:spacing w:line="276" w:lineRule="auto"/>
              <w:ind w:left="0"/>
              <w:rPr>
                <w:rFonts w:cstheme="minorHAnsi"/>
                <w:sz w:val="24"/>
                <w:szCs w:val="24"/>
              </w:rPr>
            </w:pPr>
            <w:r w:rsidRPr="003244F5">
              <w:rPr>
                <w:rFonts w:cstheme="minorHAnsi"/>
                <w:sz w:val="24"/>
                <w:szCs w:val="24"/>
              </w:rPr>
              <w:t>41,73,000</w:t>
            </w:r>
          </w:p>
          <w:p w14:paraId="56C4A612" w14:textId="3FDC6952" w:rsidR="00C61801" w:rsidRPr="003244F5" w:rsidRDefault="00C61801" w:rsidP="003244F5">
            <w:pPr>
              <w:spacing w:line="276" w:lineRule="auto"/>
              <w:ind w:left="0"/>
              <w:rPr>
                <w:rFonts w:cstheme="minorHAnsi"/>
                <w:sz w:val="24"/>
                <w:szCs w:val="24"/>
              </w:rPr>
            </w:pPr>
          </w:p>
        </w:tc>
        <w:tc>
          <w:tcPr>
            <w:tcW w:w="2254" w:type="dxa"/>
          </w:tcPr>
          <w:p w14:paraId="036315B2"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23,70,000</w:t>
            </w:r>
          </w:p>
          <w:p w14:paraId="086EA16A" w14:textId="2EE6586F" w:rsidR="00C61801" w:rsidRPr="003244F5" w:rsidRDefault="00C61801" w:rsidP="003244F5">
            <w:pPr>
              <w:spacing w:line="276" w:lineRule="auto"/>
              <w:ind w:left="0"/>
              <w:rPr>
                <w:rFonts w:cstheme="minorHAnsi"/>
                <w:sz w:val="24"/>
                <w:szCs w:val="24"/>
              </w:rPr>
            </w:pPr>
            <w:r w:rsidRPr="003244F5">
              <w:rPr>
                <w:rFonts w:cstheme="minorHAnsi"/>
                <w:sz w:val="24"/>
                <w:szCs w:val="24"/>
              </w:rPr>
              <w:t>nil</w:t>
            </w:r>
          </w:p>
          <w:p w14:paraId="0CBBF95C" w14:textId="5982E733" w:rsidR="00C61801" w:rsidRPr="003244F5" w:rsidRDefault="00C61801" w:rsidP="003244F5">
            <w:pPr>
              <w:spacing w:line="276" w:lineRule="auto"/>
              <w:ind w:left="0"/>
              <w:rPr>
                <w:rFonts w:cstheme="minorHAnsi"/>
                <w:sz w:val="24"/>
                <w:szCs w:val="24"/>
              </w:rPr>
            </w:pPr>
            <w:r w:rsidRPr="003244F5">
              <w:rPr>
                <w:rFonts w:cstheme="minorHAnsi"/>
                <w:sz w:val="24"/>
                <w:szCs w:val="24"/>
              </w:rPr>
              <w:t>23,70,000</w:t>
            </w:r>
          </w:p>
          <w:p w14:paraId="32C6DECF" w14:textId="77777777" w:rsidR="00C61801" w:rsidRPr="003244F5" w:rsidRDefault="00C61801" w:rsidP="003244F5">
            <w:pPr>
              <w:spacing w:line="276" w:lineRule="auto"/>
              <w:ind w:left="0"/>
              <w:rPr>
                <w:rFonts w:cstheme="minorHAnsi"/>
                <w:sz w:val="24"/>
                <w:szCs w:val="24"/>
              </w:rPr>
            </w:pPr>
          </w:p>
          <w:p w14:paraId="40DB649C"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94800</w:t>
            </w:r>
          </w:p>
          <w:p w14:paraId="5123F6DA" w14:textId="5B8100FD" w:rsidR="00C61801" w:rsidRPr="003244F5" w:rsidRDefault="00C61801" w:rsidP="003244F5">
            <w:pPr>
              <w:spacing w:line="276" w:lineRule="auto"/>
              <w:ind w:left="0"/>
              <w:rPr>
                <w:rFonts w:cstheme="minorHAnsi"/>
                <w:sz w:val="24"/>
                <w:szCs w:val="24"/>
              </w:rPr>
            </w:pPr>
            <w:r w:rsidRPr="003244F5">
              <w:rPr>
                <w:rFonts w:cstheme="minorHAnsi"/>
                <w:sz w:val="24"/>
                <w:szCs w:val="24"/>
              </w:rPr>
              <w:t>24,64,800</w:t>
            </w:r>
          </w:p>
        </w:tc>
        <w:tc>
          <w:tcPr>
            <w:tcW w:w="2254" w:type="dxa"/>
          </w:tcPr>
          <w:p w14:paraId="0A179A9C"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17,70,000</w:t>
            </w:r>
          </w:p>
          <w:p w14:paraId="046F5C8C" w14:textId="4F1442BD" w:rsidR="00C61801" w:rsidRPr="003244F5" w:rsidRDefault="00C61801" w:rsidP="003244F5">
            <w:pPr>
              <w:spacing w:line="276" w:lineRule="auto"/>
              <w:ind w:left="0"/>
              <w:rPr>
                <w:rFonts w:cstheme="minorHAnsi"/>
                <w:sz w:val="24"/>
                <w:szCs w:val="24"/>
              </w:rPr>
            </w:pPr>
            <w:r w:rsidRPr="003244F5">
              <w:rPr>
                <w:rFonts w:cstheme="minorHAnsi"/>
                <w:sz w:val="24"/>
                <w:szCs w:val="24"/>
              </w:rPr>
              <w:t xml:space="preserve"> Nil</w:t>
            </w:r>
          </w:p>
          <w:p w14:paraId="51B621D9" w14:textId="0559F32C" w:rsidR="00C61801" w:rsidRPr="003244F5" w:rsidRDefault="00C61801" w:rsidP="003244F5">
            <w:pPr>
              <w:spacing w:line="276" w:lineRule="auto"/>
              <w:ind w:left="0"/>
              <w:rPr>
                <w:rFonts w:cstheme="minorHAnsi"/>
                <w:sz w:val="24"/>
                <w:szCs w:val="24"/>
              </w:rPr>
            </w:pPr>
            <w:r w:rsidRPr="003244F5">
              <w:rPr>
                <w:rFonts w:cstheme="minorHAnsi"/>
                <w:sz w:val="24"/>
                <w:szCs w:val="24"/>
              </w:rPr>
              <w:t>17,70,000</w:t>
            </w:r>
          </w:p>
          <w:p w14:paraId="2E0FF13E" w14:textId="77777777" w:rsidR="00C61801" w:rsidRPr="003244F5" w:rsidRDefault="00C61801" w:rsidP="003244F5">
            <w:pPr>
              <w:spacing w:line="276" w:lineRule="auto"/>
              <w:ind w:left="0"/>
              <w:rPr>
                <w:rFonts w:cstheme="minorHAnsi"/>
                <w:sz w:val="24"/>
                <w:szCs w:val="24"/>
              </w:rPr>
            </w:pPr>
          </w:p>
          <w:p w14:paraId="0BDF3095" w14:textId="77777777" w:rsidR="00C61801" w:rsidRPr="003244F5" w:rsidRDefault="00C61801" w:rsidP="003244F5">
            <w:pPr>
              <w:spacing w:line="276" w:lineRule="auto"/>
              <w:ind w:left="0"/>
              <w:rPr>
                <w:rFonts w:cstheme="minorHAnsi"/>
                <w:sz w:val="24"/>
                <w:szCs w:val="24"/>
              </w:rPr>
            </w:pPr>
            <w:r w:rsidRPr="003244F5">
              <w:rPr>
                <w:rFonts w:cstheme="minorHAnsi"/>
                <w:sz w:val="24"/>
                <w:szCs w:val="24"/>
              </w:rPr>
              <w:t>70,800</w:t>
            </w:r>
          </w:p>
          <w:p w14:paraId="6BC1DBC4" w14:textId="3CD8B342" w:rsidR="00C61801" w:rsidRPr="003244F5" w:rsidRDefault="00C61801" w:rsidP="003244F5">
            <w:pPr>
              <w:spacing w:line="276" w:lineRule="auto"/>
              <w:ind w:left="0"/>
              <w:rPr>
                <w:rFonts w:cstheme="minorHAnsi"/>
                <w:sz w:val="24"/>
                <w:szCs w:val="24"/>
              </w:rPr>
            </w:pPr>
            <w:r w:rsidRPr="003244F5">
              <w:rPr>
                <w:rFonts w:cstheme="minorHAnsi"/>
                <w:sz w:val="24"/>
                <w:szCs w:val="24"/>
              </w:rPr>
              <w:t>18,40,800</w:t>
            </w:r>
          </w:p>
        </w:tc>
      </w:tr>
      <w:tr w:rsidR="00C61801" w:rsidRPr="003244F5" w14:paraId="318EE819" w14:textId="77777777" w:rsidTr="00617478">
        <w:tc>
          <w:tcPr>
            <w:tcW w:w="2254" w:type="dxa"/>
          </w:tcPr>
          <w:p w14:paraId="45F7B31C" w14:textId="65D10A61" w:rsidR="00C61801" w:rsidRPr="003244F5" w:rsidRDefault="00C61801" w:rsidP="003244F5">
            <w:pPr>
              <w:spacing w:line="276" w:lineRule="auto"/>
              <w:ind w:left="0"/>
              <w:rPr>
                <w:rFonts w:cstheme="minorHAnsi"/>
                <w:sz w:val="24"/>
                <w:szCs w:val="24"/>
              </w:rPr>
            </w:pPr>
            <w:r w:rsidRPr="003244F5">
              <w:rPr>
                <w:rFonts w:cstheme="minorHAnsi"/>
                <w:sz w:val="24"/>
                <w:szCs w:val="24"/>
              </w:rPr>
              <w:t>Earning available to equity shareholders before dividend tax(A-B)</w:t>
            </w:r>
          </w:p>
        </w:tc>
        <w:tc>
          <w:tcPr>
            <w:tcW w:w="2254" w:type="dxa"/>
          </w:tcPr>
          <w:p w14:paraId="40A1FD27" w14:textId="77777777" w:rsidR="00C61801" w:rsidRPr="003244F5" w:rsidRDefault="00C61801" w:rsidP="003244F5">
            <w:pPr>
              <w:spacing w:line="276" w:lineRule="auto"/>
              <w:ind w:left="0"/>
              <w:rPr>
                <w:rFonts w:cstheme="minorHAnsi"/>
                <w:sz w:val="24"/>
                <w:szCs w:val="24"/>
              </w:rPr>
            </w:pPr>
          </w:p>
          <w:p w14:paraId="4A9F0932" w14:textId="6923E522" w:rsidR="00C61801" w:rsidRPr="003244F5" w:rsidRDefault="00C61801" w:rsidP="003244F5">
            <w:pPr>
              <w:spacing w:line="276" w:lineRule="auto"/>
              <w:ind w:left="0"/>
              <w:rPr>
                <w:rFonts w:cstheme="minorHAnsi"/>
                <w:sz w:val="24"/>
                <w:szCs w:val="24"/>
              </w:rPr>
            </w:pPr>
            <w:r w:rsidRPr="003244F5">
              <w:rPr>
                <w:rFonts w:cstheme="minorHAnsi"/>
                <w:sz w:val="24"/>
                <w:szCs w:val="24"/>
              </w:rPr>
              <w:t>83,27,000</w:t>
            </w:r>
          </w:p>
        </w:tc>
        <w:tc>
          <w:tcPr>
            <w:tcW w:w="2254" w:type="dxa"/>
          </w:tcPr>
          <w:p w14:paraId="08BDDC32" w14:textId="77777777" w:rsidR="00C61801" w:rsidRPr="003244F5" w:rsidRDefault="00C61801" w:rsidP="003244F5">
            <w:pPr>
              <w:spacing w:line="276" w:lineRule="auto"/>
              <w:ind w:left="0"/>
              <w:rPr>
                <w:rFonts w:cstheme="minorHAnsi"/>
                <w:sz w:val="24"/>
                <w:szCs w:val="24"/>
              </w:rPr>
            </w:pPr>
          </w:p>
          <w:p w14:paraId="52309CB4" w14:textId="5EBA6423" w:rsidR="004771BC" w:rsidRPr="003244F5" w:rsidRDefault="004771BC" w:rsidP="003244F5">
            <w:pPr>
              <w:spacing w:line="276" w:lineRule="auto"/>
              <w:ind w:left="0"/>
              <w:rPr>
                <w:rFonts w:cstheme="minorHAnsi"/>
                <w:sz w:val="24"/>
                <w:szCs w:val="24"/>
              </w:rPr>
            </w:pPr>
            <w:r w:rsidRPr="003244F5">
              <w:rPr>
                <w:rFonts w:cstheme="minorHAnsi"/>
                <w:sz w:val="24"/>
                <w:szCs w:val="24"/>
              </w:rPr>
              <w:t>54,35,200</w:t>
            </w:r>
          </w:p>
        </w:tc>
        <w:tc>
          <w:tcPr>
            <w:tcW w:w="2254" w:type="dxa"/>
          </w:tcPr>
          <w:p w14:paraId="386E7563" w14:textId="77777777" w:rsidR="00C61801" w:rsidRPr="003244F5" w:rsidRDefault="00C61801" w:rsidP="003244F5">
            <w:pPr>
              <w:spacing w:line="276" w:lineRule="auto"/>
              <w:ind w:left="0"/>
              <w:rPr>
                <w:rFonts w:cstheme="minorHAnsi"/>
                <w:sz w:val="24"/>
                <w:szCs w:val="24"/>
              </w:rPr>
            </w:pPr>
          </w:p>
          <w:p w14:paraId="2DF8818E" w14:textId="40B53EC2" w:rsidR="004771BC" w:rsidRPr="003244F5" w:rsidRDefault="004771BC" w:rsidP="003244F5">
            <w:pPr>
              <w:spacing w:line="276" w:lineRule="auto"/>
              <w:ind w:left="0"/>
              <w:rPr>
                <w:rFonts w:cstheme="minorHAnsi"/>
                <w:sz w:val="24"/>
                <w:szCs w:val="24"/>
              </w:rPr>
            </w:pPr>
            <w:r w:rsidRPr="003244F5">
              <w:rPr>
                <w:rFonts w:cstheme="minorHAnsi"/>
                <w:sz w:val="24"/>
                <w:szCs w:val="24"/>
              </w:rPr>
              <w:t>40,59,200</w:t>
            </w:r>
          </w:p>
        </w:tc>
      </w:tr>
      <w:tr w:rsidR="004771BC" w:rsidRPr="003244F5" w14:paraId="1A577264" w14:textId="77777777" w:rsidTr="00617478">
        <w:tc>
          <w:tcPr>
            <w:tcW w:w="2254" w:type="dxa"/>
          </w:tcPr>
          <w:p w14:paraId="414A420D" w14:textId="40E0D8E2" w:rsidR="004771BC" w:rsidRPr="003244F5" w:rsidRDefault="004771BC" w:rsidP="003244F5">
            <w:pPr>
              <w:spacing w:line="276" w:lineRule="auto"/>
              <w:ind w:left="0"/>
              <w:rPr>
                <w:rFonts w:cstheme="minorHAnsi"/>
                <w:sz w:val="24"/>
                <w:szCs w:val="24"/>
              </w:rPr>
            </w:pPr>
            <w:r w:rsidRPr="003244F5">
              <w:rPr>
                <w:rFonts w:cstheme="minorHAnsi"/>
                <w:sz w:val="24"/>
                <w:szCs w:val="24"/>
              </w:rPr>
              <w:t>Rate of return on equity share capital</w:t>
            </w:r>
          </w:p>
        </w:tc>
        <w:tc>
          <w:tcPr>
            <w:tcW w:w="2254" w:type="dxa"/>
          </w:tcPr>
          <w:p w14:paraId="5435DB70" w14:textId="77777777" w:rsidR="004771BC" w:rsidRPr="003244F5" w:rsidRDefault="004771BC" w:rsidP="003244F5">
            <w:pPr>
              <w:spacing w:line="276" w:lineRule="auto"/>
              <w:ind w:left="0"/>
              <w:rPr>
                <w:rFonts w:cstheme="minorHAnsi"/>
                <w:sz w:val="24"/>
                <w:szCs w:val="24"/>
              </w:rPr>
            </w:pPr>
            <w:r w:rsidRPr="003244F5">
              <w:rPr>
                <w:rFonts w:cstheme="minorHAnsi"/>
                <w:sz w:val="24"/>
                <w:szCs w:val="24"/>
              </w:rPr>
              <w:t>83,27,000/5,00,00,000*100</w:t>
            </w:r>
          </w:p>
          <w:p w14:paraId="58D4CEA7" w14:textId="4D2F3B45" w:rsidR="004771BC" w:rsidRPr="003244F5" w:rsidRDefault="004771BC" w:rsidP="003244F5">
            <w:pPr>
              <w:spacing w:line="276" w:lineRule="auto"/>
              <w:ind w:left="0"/>
              <w:rPr>
                <w:rFonts w:cstheme="minorHAnsi"/>
                <w:sz w:val="24"/>
                <w:szCs w:val="24"/>
              </w:rPr>
            </w:pPr>
            <w:r w:rsidRPr="003244F5">
              <w:rPr>
                <w:rFonts w:cstheme="minorHAnsi"/>
                <w:sz w:val="24"/>
                <w:szCs w:val="24"/>
              </w:rPr>
              <w:t>16.65%</w:t>
            </w:r>
          </w:p>
        </w:tc>
        <w:tc>
          <w:tcPr>
            <w:tcW w:w="2254" w:type="dxa"/>
          </w:tcPr>
          <w:p w14:paraId="7708C604" w14:textId="410FA713" w:rsidR="004771BC" w:rsidRPr="003244F5" w:rsidRDefault="004771BC" w:rsidP="003244F5">
            <w:pPr>
              <w:spacing w:line="276" w:lineRule="auto"/>
              <w:ind w:left="0"/>
              <w:rPr>
                <w:rFonts w:cstheme="minorHAnsi"/>
                <w:sz w:val="24"/>
                <w:szCs w:val="24"/>
              </w:rPr>
            </w:pPr>
            <w:r w:rsidRPr="003244F5">
              <w:rPr>
                <w:rFonts w:cstheme="minorHAnsi"/>
                <w:sz w:val="24"/>
                <w:szCs w:val="24"/>
              </w:rPr>
              <w:t>27.18%</w:t>
            </w:r>
          </w:p>
        </w:tc>
        <w:tc>
          <w:tcPr>
            <w:tcW w:w="2254" w:type="dxa"/>
          </w:tcPr>
          <w:p w14:paraId="26A17021" w14:textId="4711BE17" w:rsidR="004771BC" w:rsidRPr="003244F5" w:rsidRDefault="004771BC" w:rsidP="003244F5">
            <w:pPr>
              <w:spacing w:line="276" w:lineRule="auto"/>
              <w:ind w:left="0"/>
              <w:rPr>
                <w:rFonts w:cstheme="minorHAnsi"/>
                <w:sz w:val="24"/>
                <w:szCs w:val="24"/>
              </w:rPr>
            </w:pPr>
            <w:r w:rsidRPr="003244F5">
              <w:rPr>
                <w:rFonts w:cstheme="minorHAnsi"/>
                <w:sz w:val="24"/>
                <w:szCs w:val="24"/>
              </w:rPr>
              <w:t>40.59%</w:t>
            </w:r>
          </w:p>
        </w:tc>
      </w:tr>
    </w:tbl>
    <w:p w14:paraId="76F71982" w14:textId="0EB662E8" w:rsidR="00617478" w:rsidRPr="003244F5" w:rsidRDefault="00617478" w:rsidP="003244F5">
      <w:pPr>
        <w:spacing w:line="276" w:lineRule="auto"/>
        <w:ind w:left="0"/>
        <w:rPr>
          <w:rFonts w:cstheme="minorHAnsi"/>
          <w:sz w:val="24"/>
          <w:szCs w:val="24"/>
        </w:rPr>
      </w:pPr>
      <w:r w:rsidRPr="003244F5">
        <w:rPr>
          <w:rFonts w:cstheme="minorHAnsi"/>
          <w:sz w:val="24"/>
          <w:szCs w:val="24"/>
        </w:rPr>
        <w:tab/>
      </w:r>
      <w:r w:rsidRPr="003244F5">
        <w:rPr>
          <w:rFonts w:cstheme="minorHAnsi"/>
          <w:sz w:val="24"/>
          <w:szCs w:val="24"/>
        </w:rPr>
        <w:tab/>
      </w:r>
      <w:r w:rsidRPr="003244F5">
        <w:rPr>
          <w:rFonts w:cstheme="minorHAnsi"/>
          <w:sz w:val="24"/>
          <w:szCs w:val="24"/>
        </w:rPr>
        <w:tab/>
      </w:r>
      <w:r w:rsidRPr="003244F5">
        <w:rPr>
          <w:rFonts w:cstheme="minorHAnsi"/>
          <w:sz w:val="24"/>
          <w:szCs w:val="24"/>
        </w:rPr>
        <w:tab/>
      </w:r>
    </w:p>
    <w:p w14:paraId="05FD1D00" w14:textId="35BF5CA3" w:rsidR="004771BC" w:rsidRPr="003244F5" w:rsidRDefault="004771BC" w:rsidP="003244F5">
      <w:pPr>
        <w:spacing w:line="276" w:lineRule="auto"/>
        <w:ind w:left="0"/>
        <w:rPr>
          <w:rFonts w:cstheme="minorHAnsi"/>
          <w:sz w:val="24"/>
          <w:szCs w:val="24"/>
        </w:rPr>
      </w:pPr>
      <w:r w:rsidRPr="003244F5">
        <w:rPr>
          <w:rFonts w:cstheme="minorHAnsi"/>
          <w:sz w:val="24"/>
          <w:szCs w:val="24"/>
        </w:rPr>
        <w:t>The company should, therefore, opt for the third alternative because here highest rate of return.</w:t>
      </w:r>
    </w:p>
    <w:sectPr w:rsidR="004771BC" w:rsidRPr="003244F5" w:rsidSect="005C2BB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F6"/>
    <w:rsid w:val="003244F5"/>
    <w:rsid w:val="004771BC"/>
    <w:rsid w:val="004A266B"/>
    <w:rsid w:val="00505225"/>
    <w:rsid w:val="005C2BB8"/>
    <w:rsid w:val="00617478"/>
    <w:rsid w:val="006671F6"/>
    <w:rsid w:val="007978C7"/>
    <w:rsid w:val="008162F1"/>
    <w:rsid w:val="00905E1B"/>
    <w:rsid w:val="00C57FF0"/>
    <w:rsid w:val="00C618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9341"/>
  <w15:chartTrackingRefBased/>
  <w15:docId w15:val="{53E3C81D-35D4-4D13-B611-B6E0A197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line="360" w:lineRule="auto"/>
        <w:ind w:left="13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4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44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4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2020-05-24T07:22:00Z</dcterms:created>
  <dcterms:modified xsi:type="dcterms:W3CDTF">2020-06-02T11:00:00Z</dcterms:modified>
</cp:coreProperties>
</file>